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3c06ad6275a329d8fb27d37f44ed94788ab135"/>
    <w:p>
      <w:pPr>
        <w:pStyle w:val="Heading1"/>
      </w:pPr>
      <w:r>
        <w:t xml:space="preserve">Master Thesis: The Role of an Architect in Germany Frankfurt</w:t>
      </w:r>
    </w:p>
    <w:bookmarkStart w:id="20" w:name="abstract"/>
    <w:p>
      <w:pPr>
        <w:pStyle w:val="Heading2"/>
      </w:pPr>
      <w:r>
        <w:t xml:space="preserve">Abstract</w:t>
      </w:r>
    </w:p>
    <w:p>
      <w:pPr>
        <w:pStyle w:val="FirstParagraph"/>
      </w:pPr>
      <w:r>
        <w:t xml:space="preserve">This Master Thesis explores the critical role of an architect in shaping the urban landscape and cultural identity of Germany's financial capital, Frankfurt. Focusing on historical, contemporary, and future architectural practices, this study examines how architects in Frankfurt balance innovation with heritage preservation while addressing modern challenges such as sustainability, urbanization, and regulatory frameworks. The analysis includes case studies of iconic buildings in Frankfurt and their alignment with German architectural principles.</w:t>
      </w:r>
    </w:p>
    <w:bookmarkEnd w:id="20"/>
    <w:bookmarkStart w:id="21" w:name="introduction"/>
    <w:p>
      <w:pPr>
        <w:pStyle w:val="Heading2"/>
      </w:pPr>
      <w:r>
        <w:t xml:space="preserve">Introduction</w:t>
      </w:r>
    </w:p>
    <w:p>
      <w:pPr>
        <w:pStyle w:val="FirstParagraph"/>
      </w:pPr>
      <w:r>
        <w:t xml:space="preserve">Frankfurt am Main, a city synonymous with finance and commerce in Germany, also stands as a dynamic hub for architectural innovation. As an architect practicing or studying in Frankfurt, one must navigate a unique blend of historical preservation, cutting-edge design, and strict regulatory environments. This thesis investigates how architects in Frankfurt contribute to the city’s identity while adhering to national standards like the German Building Code (BauGB) and energy efficiency regulations (EnEV). It further explores the interplay between architecture and urban planning in a metropolis where skyscrapers coexist with medieval landmarks.</w:t>
      </w:r>
    </w:p>
    <w:bookmarkEnd w:id="21"/>
    <w:bookmarkStart w:id="22" w:name="Xd9469a6eb00ccd0e70d310c8482bb8b33c14f5a"/>
    <w:p>
      <w:pPr>
        <w:pStyle w:val="Heading2"/>
      </w:pPr>
      <w:r>
        <w:t xml:space="preserve">Historical Context of Architecture in Frankfurt</w:t>
      </w:r>
    </w:p>
    <w:p>
      <w:pPr>
        <w:pStyle w:val="FirstParagraph"/>
      </w:pPr>
      <w:r>
        <w:t xml:space="preserve">Frankfurt’s architectural heritage is rooted in its role as a trade and banking center since the Renaissance. The Römerberg Square, with its Gothic architecture, reflects the city’s medieval past, while structures like the St. Paul's Church (Paulskirche) symbolize historical milestones. However, post-World War II reconstruction transformed Frankfurt into a modernist haven, marked by brutalist and glass-clad high-rises such as the Commerzbank Tower (1997), designed by architect Helmut Jahn.</w:t>
      </w:r>
    </w:p>
    <w:bookmarkEnd w:id="22"/>
    <w:bookmarkStart w:id="23" w:name="X4d9207ef85848da55a311bd4111fa9862bb6cdd"/>
    <w:p>
      <w:pPr>
        <w:pStyle w:val="Heading2"/>
      </w:pPr>
      <w:r>
        <w:t xml:space="preserve">Contemporary Architectural Practices in Frankfurt</w:t>
      </w:r>
    </w:p>
    <w:p>
      <w:pPr>
        <w:pStyle w:val="FirstParagraph"/>
      </w:pPr>
      <w:r>
        <w:t xml:space="preserve">Today, architects in Frankfurt face the challenge of integrating modern design with historical preservation. The city’s skyline is a testament to this duality: the glass-and-steel towers of the Main Tower district contrast with the Renaissance facades of Alt-Frankfurt. Key trends include:</w:t>
      </w:r>
    </w:p>
    <w:p>
      <w:pPr>
        <w:numPr>
          <w:ilvl w:val="0"/>
          <w:numId w:val="1001"/>
        </w:numPr>
        <w:pStyle w:val="Compact"/>
      </w:pPr>
      <w:r>
        <w:rPr>
          <w:bCs/>
          <w:b/>
        </w:rPr>
        <w:t xml:space="preserve">Sustainable Design:</w:t>
      </w:r>
      <w:r>
        <w:t xml:space="preserve"> </w:t>
      </w:r>
      <w:r>
        <w:t xml:space="preserve">German regulations emphasize energy efficiency, pushing architects to incorporate renewable materials, green roofs, and passive cooling systems.</w:t>
      </w:r>
    </w:p>
    <w:p>
      <w:pPr>
        <w:numPr>
          <w:ilvl w:val="0"/>
          <w:numId w:val="1001"/>
        </w:numPr>
        <w:pStyle w:val="Compact"/>
      </w:pPr>
      <w:r>
        <w:rPr>
          <w:bCs/>
          <w:b/>
        </w:rPr>
        <w:t xml:space="preserve">Density and Verticality:</w:t>
      </w:r>
      <w:r>
        <w:t xml:space="preserve"> </w:t>
      </w:r>
      <w:r>
        <w:t xml:space="preserve">Limited land availability has led to the development of high-rise residential and commercial complexes, such as the Kranichsteig neighborhood.</w:t>
      </w:r>
    </w:p>
    <w:p>
      <w:pPr>
        <w:numPr>
          <w:ilvl w:val="0"/>
          <w:numId w:val="1001"/>
        </w:numPr>
        <w:pStyle w:val="Compact"/>
      </w:pPr>
      <w:r>
        <w:rPr>
          <w:bCs/>
          <w:b/>
        </w:rPr>
        <w:t xml:space="preserve">Cultural Integration:</w:t>
      </w:r>
      <w:r>
        <w:t xml:space="preserve"> </w:t>
      </w:r>
      <w:r>
        <w:t xml:space="preserve">Projects like the Museum für Moderne Kunst (MMK) by James Wines blend modern aesthetics with Frankfurt’s cultural narrative.</w:t>
      </w:r>
    </w:p>
    <w:bookmarkEnd w:id="23"/>
    <w:bookmarkStart w:id="24" w:name="the-architects-role-in-urban-planning"/>
    <w:p>
      <w:pPr>
        <w:pStyle w:val="Heading2"/>
      </w:pPr>
      <w:r>
        <w:t xml:space="preserve">The Architect’s Role in Urban Planning</w:t>
      </w:r>
    </w:p>
    <w:p>
      <w:pPr>
        <w:pStyle w:val="FirstParagraph"/>
      </w:pPr>
      <w:r>
        <w:t xml:space="preserve">In Frankfurt, architects are not merely designers but integral stakeholders in urban planning. They collaborate with local authorities to address issues like traffic congestion, public space optimization, and the preservation of protected sites. For instance, the redevelopment of the Bahnhofsviertel (Railway Quarter) involved architects reimagining industrial spaces into vibrant mixed-use districts while respecting historical infrastructure.</w:t>
      </w:r>
    </w:p>
    <w:bookmarkEnd w:id="24"/>
    <w:bookmarkStart w:id="25" w:name="regulatory-frameworks-and-challenges"/>
    <w:p>
      <w:pPr>
        <w:pStyle w:val="Heading2"/>
      </w:pPr>
      <w:r>
        <w:t xml:space="preserve">Regulatory Frameworks and Challenges</w:t>
      </w:r>
    </w:p>
    <w:p>
      <w:pPr>
        <w:pStyle w:val="FirstParagraph"/>
      </w:pPr>
      <w:r>
        <w:t xml:space="preserve">Architects in Germany must comply with stringent legal frameworks, including the BauGB, which governs land use and construction. Additionally, the EnEV mandates energy-efficient designs to meet Germany’s climate goals. In Frankfurt, these regulations are amplified by local zoning laws that prioritize pedestrian-friendly environments and green spaces. Challenges include:</w:t>
      </w:r>
    </w:p>
    <w:p>
      <w:pPr>
        <w:numPr>
          <w:ilvl w:val="0"/>
          <w:numId w:val="1002"/>
        </w:numPr>
        <w:pStyle w:val="Compact"/>
      </w:pPr>
      <w:r>
        <w:rPr>
          <w:bCs/>
          <w:b/>
        </w:rPr>
        <w:t xml:space="preserve">Heritage vs. Modernization:</w:t>
      </w:r>
      <w:r>
        <w:t xml:space="preserve"> </w:t>
      </w:r>
      <w:r>
        <w:t xml:space="preserve">Balancing the preservation of listed buildings with the demand for contemporary infrastructure.</w:t>
      </w:r>
    </w:p>
    <w:p>
      <w:pPr>
        <w:numPr>
          <w:ilvl w:val="0"/>
          <w:numId w:val="1002"/>
        </w:numPr>
        <w:pStyle w:val="Compact"/>
      </w:pPr>
      <w:r>
        <w:rPr>
          <w:bCs/>
          <w:b/>
        </w:rPr>
        <w:t xml:space="preserve">Economic Pressures:</w:t>
      </w:r>
      <w:r>
        <w:t xml:space="preserve"> </w:t>
      </w:r>
      <w:r>
        <w:t xml:space="preserve">High land costs and competition in a globalized market.</w:t>
      </w:r>
    </w:p>
    <w:p>
      <w:pPr>
        <w:numPr>
          <w:ilvl w:val="0"/>
          <w:numId w:val="1002"/>
        </w:numPr>
        <w:pStyle w:val="Compact"/>
      </w:pPr>
      <w:r>
        <w:rPr>
          <w:bCs/>
          <w:b/>
        </w:rPr>
        <w:t xml:space="preserve">Tech Integration:</w:t>
      </w:r>
      <w:r>
        <w:t xml:space="preserve"> </w:t>
      </w:r>
      <w:r>
        <w:t xml:space="preserve">Adapting to BIM (Building Information Modeling) and digital tools required by German standards.</w:t>
      </w:r>
    </w:p>
    <w:bookmarkEnd w:id="25"/>
    <w:bookmarkStart w:id="26" w:name="case-study-the-frankfurt-opera-house"/>
    <w:p>
      <w:pPr>
        <w:pStyle w:val="Heading2"/>
      </w:pPr>
      <w:r>
        <w:t xml:space="preserve">Case Study: The Frankfurt Opera House</w:t>
      </w:r>
    </w:p>
    <w:p>
      <w:pPr>
        <w:pStyle w:val="FirstParagraph"/>
      </w:pPr>
      <w:r>
        <w:t xml:space="preserve">The Frankfurter Opern- und Museumsuhr (Frankfurt Opera House) exemplifies the architect’s role in cultural expression. Designed by Dietrich Bühler, the building combines neoclassical elements with modern functionality, serving as a cultural landmark. Its design reflects Frankfurt’s identity as a city that honors tradition while embracing innovation.</w:t>
      </w:r>
    </w:p>
    <w:bookmarkEnd w:id="26"/>
    <w:bookmarkStart w:id="27" w:name="future-trends-and-opportunities"/>
    <w:p>
      <w:pPr>
        <w:pStyle w:val="Heading2"/>
      </w:pPr>
      <w:r>
        <w:t xml:space="preserve">Future Trends and Opportunities</w:t>
      </w:r>
    </w:p>
    <w:p>
      <w:pPr>
        <w:pStyle w:val="FirstParagraph"/>
      </w:pPr>
      <w:r>
        <w:t xml:space="preserve">The future of architecture in Frankfurt will be shaped by sustainability, smart cities, and adaptive reuse. Architects are increasingly exploring:</w:t>
      </w:r>
    </w:p>
    <w:p>
      <w:pPr>
        <w:numPr>
          <w:ilvl w:val="0"/>
          <w:numId w:val="1003"/>
        </w:numPr>
        <w:pStyle w:val="Compact"/>
      </w:pPr>
      <w:r>
        <w:rPr>
          <w:bCs/>
          <w:b/>
        </w:rPr>
        <w:t xml:space="preserve">Net-Zero Buildings:</w:t>
      </w:r>
      <w:r>
        <w:t xml:space="preserve"> </w:t>
      </w:r>
      <w:r>
        <w:t xml:space="preserve">Utilizing solar panels, geothermal systems, and recycled materials to meet Germany’s 2045 carbon neutrality targets.</w:t>
      </w:r>
    </w:p>
    <w:p>
      <w:pPr>
        <w:numPr>
          <w:ilvl w:val="0"/>
          <w:numId w:val="1003"/>
        </w:numPr>
        <w:pStyle w:val="Compact"/>
      </w:pPr>
      <w:r>
        <w:rPr>
          <w:bCs/>
          <w:b/>
        </w:rPr>
        <w:t xml:space="preserve">Digital Twins:</w:t>
      </w:r>
      <w:r>
        <w:t xml:space="preserve"> </w:t>
      </w:r>
      <w:r>
        <w:t xml:space="preserve">Employing AI-driven simulations to optimize building performance and urban layouts.</w:t>
      </w:r>
    </w:p>
    <w:p>
      <w:pPr>
        <w:numPr>
          <w:ilvl w:val="0"/>
          <w:numId w:val="1003"/>
        </w:numPr>
        <w:pStyle w:val="Compact"/>
      </w:pPr>
      <w:r>
        <w:rPr>
          <w:bCs/>
          <w:b/>
        </w:rPr>
        <w:t xml:space="preserve">Community-Centric Design:</w:t>
      </w:r>
      <w:r>
        <w:t xml:space="preserve"> </w:t>
      </w:r>
      <w:r>
        <w:t xml:space="preserve">Creating spaces that foster social cohesion, such as public plazas and shared workspaces in the new Frankfurt Trade Fair area.</w:t>
      </w:r>
    </w:p>
    <w:bookmarkEnd w:id="27"/>
    <w:bookmarkStart w:id="28" w:name="conclusion"/>
    <w:p>
      <w:pPr>
        <w:pStyle w:val="Heading2"/>
      </w:pPr>
      <w:r>
        <w:t xml:space="preserve">Conclusion</w:t>
      </w:r>
    </w:p>
    <w:p>
      <w:pPr>
        <w:pStyle w:val="FirstParagraph"/>
      </w:pPr>
      <w:r>
        <w:t xml:space="preserve">This Master Thesis underscores the multifaceted role of an architect in Germany’s Frankfurt—a city where history, innovation, and sustainability converge. Architects here must navigate complex regulations, cultural expectations, and environmental demands to shape a resilient urban future. By studying Frankfurt’s architectural landscape, this research highlights the importance of adaptive design and interdisciplinary collaboration in addressing global challenges while preserving local identity.</w:t>
      </w:r>
    </w:p>
    <w:bookmarkEnd w:id="28"/>
    <w:bookmarkStart w:id="29" w:name="references"/>
    <w:p>
      <w:pPr>
        <w:pStyle w:val="Heading2"/>
      </w:pPr>
      <w:r>
        <w:t xml:space="preserve">References</w:t>
      </w:r>
    </w:p>
    <w:p>
      <w:pPr>
        <w:numPr>
          <w:ilvl w:val="0"/>
          <w:numId w:val="1004"/>
        </w:numPr>
        <w:pStyle w:val="Compact"/>
      </w:pPr>
      <w:r>
        <w:t xml:space="preserve">BauGB – German Building Code (Federal Ministry of Construction, 2023).</w:t>
      </w:r>
    </w:p>
    <w:p>
      <w:pPr>
        <w:numPr>
          <w:ilvl w:val="0"/>
          <w:numId w:val="1004"/>
        </w:numPr>
        <w:pStyle w:val="Compact"/>
      </w:pPr>
      <w:r>
        <w:t xml:space="preserve">EnEV – Energy Saving Ordinance (German Federal Government, 2023).</w:t>
      </w:r>
    </w:p>
    <w:p>
      <w:pPr>
        <w:numPr>
          <w:ilvl w:val="0"/>
          <w:numId w:val="1004"/>
        </w:numPr>
        <w:pStyle w:val="Compact"/>
      </w:pPr>
      <w:r>
        <w:t xml:space="preserve">Kempf, A. (Ed.). *Frankfurt Architecture: From Medieval to Modern*. Frankfurt University Press, 2019.</w:t>
      </w:r>
    </w:p>
    <w:p>
      <w:pPr>
        <w:numPr>
          <w:ilvl w:val="0"/>
          <w:numId w:val="1004"/>
        </w:numPr>
        <w:pStyle w:val="Compact"/>
      </w:pPr>
      <w:r>
        <w:t xml:space="preserve">Helmut Jahn. *Commerzbank Tower: A Case Study in High-Rise Design*. Architectural Review,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Germany Frankfurt</dc:title>
  <dc:creator/>
  <dc:language>en</dc:language>
  <cp:keywords/>
  <dcterms:created xsi:type="dcterms:W3CDTF">2026-04-30T20:19:37Z</dcterms:created>
  <dcterms:modified xsi:type="dcterms:W3CDTF">2026-04-30T20:19:37Z</dcterms:modified>
</cp:coreProperties>
</file>

<file path=docProps/custom.xml><?xml version="1.0" encoding="utf-8"?>
<Properties xmlns="http://schemas.openxmlformats.org/officeDocument/2006/custom-properties" xmlns:vt="http://schemas.openxmlformats.org/officeDocument/2006/docPropsVTypes"/>
</file>