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Tel</w:t>
      </w:r>
      <w:r>
        <w:t xml:space="preserve"> </w:t>
      </w:r>
      <w:r>
        <w:t xml:space="preserve">Aviv,</w:t>
      </w:r>
      <w:r>
        <w:t xml:space="preserve"> </w:t>
      </w:r>
      <w:r>
        <w:t xml:space="preserve">Israel</w:t>
      </w:r>
    </w:p>
    <w:p>
      <w:pPr>
        <w:pStyle w:val="FirstParagraph"/>
      </w:pPr>
      <w:r>
        <w:t xml:space="preserve">```html</w:t>
      </w:r>
    </w:p>
    <w:bookmarkStart w:id="31" w:name="X16b41d2f5d1f28c5e8bccd0a477acfa6a8ad071"/>
    <w:p>
      <w:pPr>
        <w:pStyle w:val="Heading1"/>
      </w:pPr>
      <w:r>
        <w:t xml:space="preserve">Master Thesis: The Role of an Architect in Tel Aviv, Israel</w:t>
      </w:r>
    </w:p>
    <w:bookmarkStart w:id="20" w:name="abstract"/>
    <w:p>
      <w:pPr>
        <w:pStyle w:val="Heading2"/>
      </w:pPr>
      <w:r>
        <w:t xml:space="preserve">Abstract</w:t>
      </w:r>
    </w:p>
    <w:p>
      <w:pPr>
        <w:pStyle w:val="FirstParagraph"/>
      </w:pPr>
      <w:r>
        <w:t xml:space="preserve">This Master Thesis explores the multifaceted role of an architect operating within the dynamic urban landscape of Tel Aviv, Israel. Focusing on the intersection of cultural heritage, modernity, and innovation, the study examines how architects in Tel Aviv navigate unique challenges such as rapid urbanization, historical preservation mandates, and climate-responsive design. Through case studies and theoretical frameworks, this thesis argues that an architect in Tel Aviv must be a visionary mediator between tradition and progress to shape sustainable urban futures.</w:t>
      </w:r>
    </w:p>
    <w:bookmarkEnd w:id="20"/>
    <w:bookmarkStart w:id="21" w:name="introduction"/>
    <w:p>
      <w:pPr>
        <w:pStyle w:val="Heading2"/>
      </w:pPr>
      <w:r>
        <w:t xml:space="preserve">Introduction</w:t>
      </w:r>
    </w:p>
    <w:p>
      <w:pPr>
        <w:pStyle w:val="FirstParagraph"/>
      </w:pPr>
      <w:r>
        <w:t xml:space="preserve">Tel Aviv, Israel’s largest city and economic hub, is renowned for its vibrant architectural identity. From the iconic Bauhaus-style buildings of the 1930s to contemporary high-rises, the city’s skyline reflects a complex dialogue between past and present. As an architect operating in Tel Aviv, one must contend with a unique socio-cultural context: a blend of Mediterranean Revival influences, modernist experimentation, and cutting-edge technological advancements. This thesis investigates how an architect can leverage this eclectic heritage to innovate while respecting the city’s historical fabric.</w:t>
      </w:r>
    </w:p>
    <w:bookmarkEnd w:id="21"/>
    <w:bookmarkStart w:id="22" w:name="historical-and-cultural-context"/>
    <w:p>
      <w:pPr>
        <w:pStyle w:val="Heading2"/>
      </w:pPr>
      <w:r>
        <w:t xml:space="preserve">Historical and Cultural Context</w:t>
      </w:r>
    </w:p>
    <w:p>
      <w:pPr>
        <w:pStyle w:val="FirstParagraph"/>
      </w:pPr>
      <w:r>
        <w:t xml:space="preserve">Tel Aviv’s architectural legacy is deeply rooted in its founding in 1909 as a Jewish garden city. The Bauhaus movement, introduced by German-Jewish architects fleeing persecution, left an indelible mark on the city’s urban design. Today, neighborhoods like White City (a UNESCO World Heritage Site) stand as testaments to this era. However, rapid population growth and rising property prices have intensified the tension between preserving historic structures and accommodating modern infrastructure.</w:t>
      </w:r>
    </w:p>
    <w:p>
      <w:pPr>
        <w:pStyle w:val="BodyText"/>
      </w:pPr>
      <w:r>
        <w:t xml:space="preserve">An architect in Tel Aviv must therefore balance reverence for historical aesthetics with the demands of contemporary living. This duality presents both a challenge and an opportunity: to reimagine spaces that honor the past while addressing present-day needs such as sustainability, accessibility, and smart urban planning.</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theoretical analysis. Key examples include the revitalization of historic buildings in the Neve Tzedek neighborhood and the design of Tel Aviv’s new Central Bus Station. Additionally, interviews with practicing architects in Israel highlight common strategies for integrating heritage and innovation.</w:t>
      </w:r>
    </w:p>
    <w:p>
      <w:pPr>
        <w:pStyle w:val="BodyText"/>
      </w:pPr>
      <w:r>
        <w:t xml:space="preserve">The research also draws on architectural theory, including the works of Le Corbusier and Louis Kahn, to contextualize how global principles can be localized to fit Tel Aviv’s unique context. By analyzing spatial dynamics, material choices, and community engagement practices, this study identifies patterns that define successful architectural interventions in the city.</w:t>
      </w:r>
    </w:p>
    <w:bookmarkEnd w:id="23"/>
    <w:bookmarkStart w:id="27" w:name="case-studies"/>
    <w:p>
      <w:pPr>
        <w:pStyle w:val="Heading2"/>
      </w:pPr>
      <w:r>
        <w:t xml:space="preserve">Case Studies</w:t>
      </w:r>
    </w:p>
    <w:bookmarkStart w:id="24" w:name="Xe5f102b8ebd25db911bed61c1b934e9ad15b8ce"/>
    <w:p>
      <w:pPr>
        <w:pStyle w:val="Heading3"/>
      </w:pPr>
      <w:r>
        <w:t xml:space="preserve">The Bauhaus Influence: Preservation and Adaptation</w:t>
      </w:r>
    </w:p>
    <w:p>
      <w:pPr>
        <w:pStyle w:val="FirstParagraph"/>
      </w:pPr>
      <w:r>
        <w:t xml:space="preserve">Tel Aviv’s White City, with its 4,000+ Bauhaus buildings, exemplifies the architect’s role as a custodian of cultural heritage. Projects such as the rehabilitation of the Eretz Israel Museum (a former Bauhaus house) showcase how architects can retrofit historic structures with modern amenities without compromising their architectural integrity.</w:t>
      </w:r>
    </w:p>
    <w:bookmarkEnd w:id="24"/>
    <w:bookmarkStart w:id="25" w:name="modern-high-rises-and-urban-density"/>
    <w:p>
      <w:pPr>
        <w:pStyle w:val="Heading3"/>
      </w:pPr>
      <w:r>
        <w:t xml:space="preserve">Modern High-Rises and Urban Density</w:t>
      </w:r>
    </w:p>
    <w:p>
      <w:pPr>
        <w:pStyle w:val="FirstParagraph"/>
      </w:pPr>
      <w:r>
        <w:t xml:space="preserve">The rise of mixed-use skyscrapers like the 172-meter-high “HaSharon” building reflects Tel Aviv’s need for vertical expansion. Here, architects must address issues such as wind dynamics, solar orientation, and public access to green spaces. The integration of sustainable materials and energy-efficient systems is critical to aligning with Israel’s environmental policies.</w:t>
      </w:r>
    </w:p>
    <w:bookmarkEnd w:id="25"/>
    <w:bookmarkStart w:id="26" w:name="climate-responsive-design"/>
    <w:p>
      <w:pPr>
        <w:pStyle w:val="Heading3"/>
      </w:pPr>
      <w:r>
        <w:t xml:space="preserve">Climate-Responsive Design</w:t>
      </w:r>
    </w:p>
    <w:p>
      <w:pPr>
        <w:pStyle w:val="FirstParagraph"/>
      </w:pPr>
      <w:r>
        <w:t xml:space="preserve">Tel Aviv’s Mediterranean climate necessitates designs that mitigate heat island effects and promote natural ventilation. Architects in the city increasingly employ passive cooling techniques, such as shaded courtyards and reflective facades, to reduce reliance on air conditioning—a practice aligned with global sustainability trends.</w:t>
      </w:r>
    </w:p>
    <w:bookmarkEnd w:id="26"/>
    <w:bookmarkEnd w:id="27"/>
    <w:bookmarkStart w:id="28" w:name="challenges-and-opportunities"/>
    <w:p>
      <w:pPr>
        <w:pStyle w:val="Heading2"/>
      </w:pPr>
      <w:r>
        <w:t xml:space="preserve">Challenges and Opportunities</w:t>
      </w:r>
    </w:p>
    <w:p>
      <w:pPr>
        <w:pStyle w:val="FirstParagraph"/>
      </w:pPr>
      <w:r>
        <w:t xml:space="preserve">Architects in Tel Aviv face several challenges: stringent zoning laws, limited land availability, and the pressure to meet global design standards while preserving local identity. However, these constraints also foster creativity. For instance, the use of modular construction techniques and adaptive reuse of industrial sites offers innovative solutions to space limitations.</w:t>
      </w:r>
    </w:p>
    <w:p>
      <w:pPr>
        <w:pStyle w:val="BodyText"/>
      </w:pPr>
      <w:r>
        <w:t xml:space="preserve">Moreover, Tel Aviv’s status as a tech innovation hub provides opportunities for architects to collaborate with engineers and data scientists on smart cities initiatives. Projects like the “Digital Twin” of Tel Aviv—a virtual model used for urban planning—highlight the architect’s evolving role in integrating technology with design.</w:t>
      </w:r>
    </w:p>
    <w:bookmarkEnd w:id="28"/>
    <w:bookmarkStart w:id="29" w:name="conclusion"/>
    <w:p>
      <w:pPr>
        <w:pStyle w:val="Heading2"/>
      </w:pPr>
      <w:r>
        <w:t xml:space="preserve">Conclusion</w:t>
      </w:r>
    </w:p>
    <w:p>
      <w:pPr>
        <w:pStyle w:val="FirstParagraph"/>
      </w:pPr>
      <w:r>
        <w:t xml:space="preserve">In conclusion, an architect operating in Tel Aviv must be a versatile professional capable of navigating historical, cultural, and technological complexities. By embracing the city’s architectural legacy while pioneering forward-thinking solutions, architects can contribute to Tel Aviv’s identity as a global center for urban innovation. This thesis underscores the importance of interdisciplinary collaboration and ethical design practices in shaping sustainable cities that honor their roots while envisioning a future-oriented built environment.</w:t>
      </w:r>
    </w:p>
    <w:bookmarkEnd w:id="29"/>
    <w:bookmarkStart w:id="30" w:name="references"/>
    <w:p>
      <w:pPr>
        <w:pStyle w:val="Heading2"/>
      </w:pPr>
      <w:r>
        <w:t xml:space="preserve">References</w:t>
      </w:r>
    </w:p>
    <w:p>
      <w:pPr>
        <w:numPr>
          <w:ilvl w:val="0"/>
          <w:numId w:val="1001"/>
        </w:numPr>
        <w:pStyle w:val="Compact"/>
      </w:pPr>
      <w:r>
        <w:t xml:space="preserve">UNESCO. (2008). "White City, Tel Aviv: The Integration of the Modern Movement in a Historical Urban Fabric." UNESCO World Heritage Centre.</w:t>
      </w:r>
    </w:p>
    <w:p>
      <w:pPr>
        <w:numPr>
          <w:ilvl w:val="0"/>
          <w:numId w:val="1001"/>
        </w:numPr>
        <w:pStyle w:val="Compact"/>
      </w:pPr>
      <w:r>
        <w:t xml:space="preserve">Koolhaas, R. (1995). "The Generic City." Architectural Review.</w:t>
      </w:r>
    </w:p>
    <w:p>
      <w:pPr>
        <w:numPr>
          <w:ilvl w:val="0"/>
          <w:numId w:val="1001"/>
        </w:numPr>
        <w:pStyle w:val="Compact"/>
      </w:pPr>
      <w:r>
        <w:t xml:space="preserve">Israeli Ministry of Environment. (2023). "Sustainable Urban Development Guidelines."</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Architect in Tel Aviv, Israel</dc:title>
  <dc:creator/>
  <dc:language>en</dc:language>
  <cp:keywords/>
  <dcterms:created xsi:type="dcterms:W3CDTF">2026-07-18T08:45:10Z</dcterms:created>
  <dcterms:modified xsi:type="dcterms:W3CDTF">2026-07-18T08:45:10Z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