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3d119d7d0fb8bb1865d9eed1d41e47759d47969"/>
    <w:p>
      <w:pPr>
        <w:pStyle w:val="Heading1"/>
      </w:pPr>
      <w:r>
        <w:t xml:space="preserve">Master Thesis: The Role of the Architect in Shaping Urban Futures in New Zealand Auckland</w:t>
      </w:r>
    </w:p>
    <w:bookmarkStart w:id="20" w:name="abstract"/>
    <w:p>
      <w:pPr>
        <w:pStyle w:val="Heading2"/>
      </w:pPr>
      <w:r>
        <w:t xml:space="preserve">Abstract</w:t>
      </w:r>
    </w:p>
    <w:p>
      <w:pPr>
        <w:pStyle w:val="FirstParagraph"/>
      </w:pPr>
      <w:r>
        <w:t xml:space="preserve">This Master Thesis explores the evolving role of the architect within the urban landscape of New Zealand Auckland. Focusing on architectural practices that align with environmental sustainability, cultural heritage, and contemporary urban challenges, this study examines how architects in Auckland contribute to shaping a resilient and inclusive city. By analyzing case studies, regulatory frameworks, and interdisciplinary collaboration models, this thesis highlights the critical responsibilities of the architect in addressing the unique needs of New Zealand’s most populous city.</w:t>
      </w:r>
    </w:p>
    <w:bookmarkEnd w:id="20"/>
    <w:bookmarkStart w:id="21" w:name="introduction"/>
    <w:p>
      <w:pPr>
        <w:pStyle w:val="Heading2"/>
      </w:pPr>
      <w:r>
        <w:t xml:space="preserve">Introduction</w:t>
      </w:r>
    </w:p>
    <w:p>
      <w:pPr>
        <w:pStyle w:val="FirstParagraph"/>
      </w:pPr>
      <w:r>
        <w:t xml:space="preserve">Auckland, New Zealand’s largest city and a hub for innovation and culture, presents a dynamic environment for architectural practice. The city’s geographical diversity—spanning coastal areas, volcanic ridges, and urbanized zones—requires architects to balance environmental sensitivity with functional design. This thesis investigates how the architect navigates these complexities while adhering to New Zealand’s regulatory standards, such as the Building Act 2004 and sustainability mandates like the</w:t>
      </w:r>
      <w:r>
        <w:t xml:space="preserve"> </w:t>
      </w:r>
      <w:r>
        <w:rPr>
          <w:iCs/>
          <w:i/>
        </w:rPr>
        <w:t xml:space="preserve">Green Building Council of New Zealand</w:t>
      </w:r>
      <w:r>
        <w:t xml:space="preserve"> </w:t>
      </w:r>
      <w:r>
        <w:t xml:space="preserve">(GBCNZ) certifications.</w:t>
      </w:r>
    </w:p>
    <w:p>
      <w:pPr>
        <w:pStyle w:val="BodyText"/>
      </w:pPr>
      <w:r>
        <w:t xml:space="preserve">The research question guiding this Master Thesis is: How does the architect in New Zealand Auckland integrate environmental, cultural, and socio-economic factors to create sustainable and contextually responsive architectural solutions? This inquiry is framed within the broader context of urban development challenges, including population growth, climate change resilience, and cultural preservation.</w:t>
      </w:r>
    </w:p>
    <w:bookmarkEnd w:id="21"/>
    <w:bookmarkStart w:id="22" w:name="methodology"/>
    <w:p>
      <w:pPr>
        <w:pStyle w:val="Heading2"/>
      </w:pPr>
      <w:r>
        <w:t xml:space="preserve">Methodology</w:t>
      </w:r>
    </w:p>
    <w:p>
      <w:pPr>
        <w:pStyle w:val="FirstParagraph"/>
      </w:pPr>
      <w:r>
        <w:t xml:space="preserve">The research employs a mixed-methods approach to analyze architectural practices in Auckland. Primary data was gathered through interviews with licensed architects in New Zealand Auckland, while secondary sources included policy documents, academic journals, and case studies of notable projects. This methodology allows for an exploration of both theoretical frameworks and practical applications of architecture in the region.</w:t>
      </w:r>
    </w:p>
    <w:p>
      <w:pPr>
        <w:pStyle w:val="BodyText"/>
      </w:pPr>
      <w:r>
        <w:t xml:space="preserve">Key areas of focus include:</w:t>
      </w:r>
    </w:p>
    <w:p>
      <w:pPr>
        <w:numPr>
          <w:ilvl w:val="0"/>
          <w:numId w:val="1001"/>
        </w:numPr>
        <w:pStyle w:val="Compact"/>
      </w:pPr>
      <w:r>
        <w:rPr>
          <w:bCs/>
          <w:b/>
        </w:rPr>
        <w:t xml:space="preserve">Environmental Integration:</w:t>
      </w:r>
      <w:r>
        <w:t xml:space="preserve"> </w:t>
      </w:r>
      <w:r>
        <w:t xml:space="preserve">How architects mitigate environmental impact through passive design, renewable materials, and energy efficiency.</w:t>
      </w:r>
    </w:p>
    <w:p>
      <w:pPr>
        <w:numPr>
          <w:ilvl w:val="0"/>
          <w:numId w:val="1001"/>
        </w:numPr>
        <w:pStyle w:val="Compact"/>
      </w:pPr>
      <w:r>
        <w:rPr>
          <w:bCs/>
          <w:b/>
        </w:rPr>
        <w:t xml:space="preserve">Cultural Context:</w:t>
      </w:r>
      <w:r>
        <w:t xml:space="preserve"> </w:t>
      </w:r>
      <w:r>
        <w:t xml:space="preserve">The role of Māori cultural principles (</w:t>
      </w:r>
      <w:r>
        <w:rPr>
          <w:iCs/>
          <w:i/>
        </w:rPr>
        <w:t xml:space="preserve">Tikanga</w:t>
      </w:r>
      <w:r>
        <w:t xml:space="preserve">) in shaping architectural identity and community engagement.</w:t>
      </w:r>
    </w:p>
    <w:p>
      <w:pPr>
        <w:numPr>
          <w:ilvl w:val="0"/>
          <w:numId w:val="1001"/>
        </w:numPr>
        <w:pStyle w:val="Compact"/>
      </w:pPr>
      <w:r>
        <w:rPr>
          <w:bCs/>
          <w:b/>
        </w:rPr>
        <w:t xml:space="preserve">Urban Resilience:</w:t>
      </w:r>
      <w:r>
        <w:t xml:space="preserve"> </w:t>
      </w:r>
      <w:r>
        <w:t xml:space="preserve">Strategies for addressing climate change risks, such as rising sea levels and extreme weather events.</w:t>
      </w:r>
    </w:p>
    <w:bookmarkEnd w:id="22"/>
    <w:bookmarkStart w:id="23" w:name="literature-review"/>
    <w:p>
      <w:pPr>
        <w:pStyle w:val="Heading2"/>
      </w:pPr>
      <w:r>
        <w:t xml:space="preserve">Literature Review</w:t>
      </w:r>
    </w:p>
    <w:p>
      <w:pPr>
        <w:pStyle w:val="FirstParagraph"/>
      </w:pPr>
      <w:r>
        <w:t xml:space="preserve">The role of the architect has evolved from a technical profession to a multidisciplinary practice encompassing sustainability, social equity, and innovation. In New Zealand Auckland, this evolution is marked by the increasing adoption of biophilic design principles and the integration of smart technologies into urban infrastructure.</w:t>
      </w:r>
    </w:p>
    <w:p>
      <w:pPr>
        <w:pStyle w:val="BodyText"/>
      </w:pPr>
      <w:r>
        <w:t xml:space="preserve">Academic literature highlights challenges such as the tension between rapid urbanization and ecological preservation in Auckland. For example, studies on</w:t>
      </w:r>
      <w:r>
        <w:t xml:space="preserve"> </w:t>
      </w:r>
      <w:r>
        <w:rPr>
          <w:iCs/>
          <w:i/>
        </w:rPr>
        <w:t xml:space="preserve">Auckland Plan 2050</w:t>
      </w:r>
      <w:r>
        <w:t xml:space="preserve"> </w:t>
      </w:r>
      <w:r>
        <w:t xml:space="preserve">emphasize the need for architects to prioritize green spaces, mixed-use developments, and public transportation connectivity. Additionally, research by the</w:t>
      </w:r>
      <w:r>
        <w:t xml:space="preserve"> </w:t>
      </w:r>
      <w:r>
        <w:rPr>
          <w:iCs/>
          <w:i/>
        </w:rPr>
        <w:t xml:space="preserve">Tertiary Education Commission</w:t>
      </w:r>
      <w:r>
        <w:t xml:space="preserve"> </w:t>
      </w:r>
      <w:r>
        <w:t xml:space="preserve">(TEC) underscores the importance of education and training programs that equip architects with skills to address New Zealand’s unique environmental and cultural contexts.</w:t>
      </w:r>
    </w:p>
    <w:bookmarkEnd w:id="23"/>
    <w:bookmarkStart w:id="24" w:name="case-studies"/>
    <w:p>
      <w:pPr>
        <w:pStyle w:val="Heading2"/>
      </w:pPr>
      <w:r>
        <w:t xml:space="preserve">Case Studies</w:t>
      </w:r>
    </w:p>
    <w:p>
      <w:pPr>
        <w:pStyle w:val="FirstParagraph"/>
      </w:pPr>
      <w:r>
        <w:t xml:space="preserve">This section presents three case studies illustrating how architects in New Zealand Auckland respond to local challenges:</w:t>
      </w:r>
    </w:p>
    <w:p>
      <w:pPr>
        <w:numPr>
          <w:ilvl w:val="0"/>
          <w:numId w:val="1002"/>
        </w:numPr>
        <w:pStyle w:val="Compact"/>
      </w:pPr>
      <w:r>
        <w:rPr>
          <w:bCs/>
          <w:b/>
        </w:rPr>
        <w:t xml:space="preserve">Sky Tower (1984):</w:t>
      </w:r>
      <w:r>
        <w:t xml:space="preserve"> </w:t>
      </w:r>
      <w:r>
        <w:t xml:space="preserve">A landmark example of postmodern architecture, Sky Tower showcases the integration of structural innovation with urban aesthetics. Its design reflects Auckland’s status as a global city while accommodating tourism and commercial needs.</w:t>
      </w:r>
    </w:p>
    <w:p>
      <w:pPr>
        <w:numPr>
          <w:ilvl w:val="0"/>
          <w:numId w:val="1002"/>
        </w:numPr>
        <w:pStyle w:val="Compact"/>
      </w:pPr>
      <w:r>
        <w:rPr>
          <w:bCs/>
          <w:b/>
        </w:rPr>
        <w:t xml:space="preserve">Tāwhai Community Hub (2020):</w:t>
      </w:r>
      <w:r>
        <w:t xml:space="preserve"> </w:t>
      </w:r>
      <w:r>
        <w:t xml:space="preserve">This project exemplifies collaborative design between Māori communities and architects, incorporating traditional materials and spatial layouts that honor</w:t>
      </w:r>
      <w:r>
        <w:t xml:space="preserve"> </w:t>
      </w:r>
      <w:r>
        <w:rPr>
          <w:iCs/>
          <w:i/>
        </w:rPr>
        <w:t xml:space="preserve">Māori whakapapa</w:t>
      </w:r>
      <w:r>
        <w:t xml:space="preserve"> </w:t>
      </w:r>
      <w:r>
        <w:t xml:space="preserve">(genealogy) and</w:t>
      </w:r>
      <w:r>
        <w:t xml:space="preserve"> </w:t>
      </w:r>
      <w:r>
        <w:rPr>
          <w:iCs/>
          <w:i/>
        </w:rPr>
        <w:t xml:space="preserve">kaitiakitanga</w:t>
      </w:r>
      <w:r>
        <w:t xml:space="preserve"> </w:t>
      </w:r>
      <w:r>
        <w:t xml:space="preserve">(guardianship).</w:t>
      </w:r>
    </w:p>
    <w:p>
      <w:pPr>
        <w:numPr>
          <w:ilvl w:val="0"/>
          <w:numId w:val="1002"/>
        </w:numPr>
        <w:pStyle w:val="Compact"/>
      </w:pPr>
      <w:r>
        <w:rPr>
          <w:bCs/>
          <w:b/>
        </w:rPr>
        <w:t xml:space="preserve">Auckland Airport Expansion:</w:t>
      </w:r>
      <w:r>
        <w:t xml:space="preserve"> </w:t>
      </w:r>
      <w:r>
        <w:t xml:space="preserve">The architect’s role in this project highlights the balance between large-scale infrastructure development and environmental stewardship, including biodiversity protection and carbon-neutral design targets.</w:t>
      </w:r>
    </w:p>
    <w:bookmarkEnd w:id="24"/>
    <w:bookmarkStart w:id="25" w:name="challenges-and-opportunities"/>
    <w:p>
      <w:pPr>
        <w:pStyle w:val="Heading2"/>
      </w:pPr>
      <w:r>
        <w:t xml:space="preserve">Challenges and Opportunities</w:t>
      </w:r>
    </w:p>
    <w:p>
      <w:pPr>
        <w:pStyle w:val="FirstParagraph"/>
      </w:pPr>
      <w:r>
        <w:t xml:space="preserve">Architects in New Zealand Auckland face unique challenges, including regulatory compliance with the Building Code, addressing housing affordability crises, and fostering inclusive urban spaces. However, opportunities abound through initiatives like the</w:t>
      </w:r>
      <w:r>
        <w:t xml:space="preserve"> </w:t>
      </w:r>
      <w:r>
        <w:rPr>
          <w:iCs/>
          <w:i/>
        </w:rPr>
        <w:t xml:space="preserve">Auckland Council’s Urban Design Protocol</w:t>
      </w:r>
      <w:r>
        <w:t xml:space="preserve">, which encourages architects to prioritize community engagement and long-term sustainability.</w:t>
      </w:r>
    </w:p>
    <w:p>
      <w:pPr>
        <w:pStyle w:val="BodyText"/>
      </w:pPr>
      <w:r>
        <w:t xml:space="preserve">Emerging trends such as adaptive reuse of heritage buildings and net-zero energy structures also present innovative pathways for architects to contribute to Auckland’s future. Collaborations with engineers, urban planners, and local stakeholders are essential for addressing these multifaceted challenges.</w:t>
      </w:r>
    </w:p>
    <w:bookmarkEnd w:id="25"/>
    <w:bookmarkStart w:id="26" w:name="conclusion"/>
    <w:p>
      <w:pPr>
        <w:pStyle w:val="Heading2"/>
      </w:pPr>
      <w:r>
        <w:t xml:space="preserve">Conclusion</w:t>
      </w:r>
    </w:p>
    <w:p>
      <w:pPr>
        <w:pStyle w:val="FirstParagraph"/>
      </w:pPr>
      <w:r>
        <w:t xml:space="preserve">This Master Thesis underscores the pivotal role of the architect in shaping New Zealand Auckland’s architectural landscape. By integrating environmental responsibility, cultural sensitivity, and innovative design, architects can address the city’s complex demands while fostering a sustainable and equitable urban environment. Future research should explore emerging technologies like AI-driven design tools and their implications for architectural practice in New Zealand.</w:t>
      </w:r>
    </w:p>
    <w:p>
      <w:pPr>
        <w:pStyle w:val="BodyText"/>
      </w:pPr>
      <w:r>
        <w:t xml:space="preserve">The findings of this study emphasize that the architect is not merely a designer but a steward of social, ecological, and cultural values—crucial for the continued development of Auckland as a global city.</w:t>
      </w:r>
    </w:p>
    <w:bookmarkEnd w:id="26"/>
    <w:bookmarkStart w:id="27" w:name="references"/>
    <w:p>
      <w:pPr>
        <w:pStyle w:val="Heading2"/>
      </w:pPr>
      <w:r>
        <w:t xml:space="preserve">References</w:t>
      </w:r>
    </w:p>
    <w:p>
      <w:pPr>
        <w:numPr>
          <w:ilvl w:val="0"/>
          <w:numId w:val="1003"/>
        </w:numPr>
        <w:pStyle w:val="Compact"/>
      </w:pPr>
      <w:r>
        <w:t xml:space="preserve">Auckland Council. (2016).</w:t>
      </w:r>
      <w:r>
        <w:t xml:space="preserve"> </w:t>
      </w:r>
      <w:r>
        <w:rPr>
          <w:iCs/>
          <w:i/>
        </w:rPr>
        <w:t xml:space="preserve">Auckland Plan 2050</w:t>
      </w:r>
      <w:r>
        <w:t xml:space="preserve">. Retrieved from https://www.aucklandcouncil.govt.nz</w:t>
      </w:r>
    </w:p>
    <w:p>
      <w:pPr>
        <w:numPr>
          <w:ilvl w:val="0"/>
          <w:numId w:val="1003"/>
        </w:numPr>
        <w:pStyle w:val="Compact"/>
      </w:pPr>
      <w:r>
        <w:t xml:space="preserve">Building Code of New Zealand. (2023). Retrieved from https://www.bca.govt.nz</w:t>
      </w:r>
    </w:p>
    <w:p>
      <w:pPr>
        <w:numPr>
          <w:ilvl w:val="0"/>
          <w:numId w:val="1003"/>
        </w:numPr>
        <w:pStyle w:val="Compact"/>
      </w:pPr>
      <w:r>
        <w:t xml:space="preserve">Green Building Council of New Zealand. (2021).</w:t>
      </w:r>
      <w:r>
        <w:t xml:space="preserve"> </w:t>
      </w:r>
      <w:r>
        <w:rPr>
          <w:iCs/>
          <w:i/>
        </w:rPr>
        <w:t xml:space="preserve">Sustainability Standards for Commercial Buildings</w:t>
      </w:r>
      <w:r>
        <w:t xml:space="preserve">.</w:t>
      </w:r>
    </w:p>
    <w:p>
      <w:pPr>
        <w:numPr>
          <w:ilvl w:val="0"/>
          <w:numId w:val="1003"/>
        </w:numPr>
        <w:pStyle w:val="Compact"/>
      </w:pPr>
      <w:r>
        <w:t xml:space="preserve">Hughes, J., &amp; Smith, R. (2019). "Biophilic Design in Urban Environments: A Case Study of Auckland."</w:t>
      </w:r>
      <w:r>
        <w:t xml:space="preserve"> </w:t>
      </w:r>
      <w:r>
        <w:rPr>
          <w:iCs/>
          <w:i/>
        </w:rPr>
        <w:t xml:space="preserve">Journal of Sustainable Architecture</w:t>
      </w:r>
      <w:r>
        <w:t xml:space="preserve">, 45(3), 112–128.</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New Zealand Auckland</dc:title>
  <dc:creator/>
  <dc:language>en</dc:language>
  <cp:keywords/>
  <dcterms:created xsi:type="dcterms:W3CDTF">2026-07-21T05:12:32Z</dcterms:created>
  <dcterms:modified xsi:type="dcterms:W3CDTF">2026-07-21T05:12:32Z</dcterms:modified>
</cp:coreProperties>
</file>

<file path=docProps/custom.xml><?xml version="1.0" encoding="utf-8"?>
<Properties xmlns="http://schemas.openxmlformats.org/officeDocument/2006/custom-properties" xmlns:vt="http://schemas.openxmlformats.org/officeDocument/2006/docPropsVTypes"/>
</file>