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04c7f35e8bf38e3d2323ac89f4a363ad53b502"/>
    <w:p>
      <w:pPr>
        <w:pStyle w:val="Heading1"/>
      </w:pPr>
      <w:r>
        <w:t xml:space="preserve">Master Thesis: The Role of an Architect in New Zealand Wellington</w:t>
      </w:r>
    </w:p>
    <w:bookmarkStart w:id="20" w:name="abstract"/>
    <w:p>
      <w:pPr>
        <w:pStyle w:val="Heading2"/>
      </w:pPr>
      <w:r>
        <w:t xml:space="preserve">Abstract</w:t>
      </w:r>
    </w:p>
    <w:p>
      <w:pPr>
        <w:pStyle w:val="FirstParagraph"/>
      </w:pPr>
      <w:r>
        <w:t xml:space="preserve">This Master Thesis explores the evolving role of an architect within the urban context of New Zealand Wellington. As a city renowned for its unique blend of natural beauty, cultural heritage, and progressive environmental policies, Wellington presents distinct challenges and opportunities for architects. The study examines how contemporary architectural practices in Wellington align with global trends while addressing local needs such as sustainability, resilience to climate change, and integration with Māori cultural values. Through case studies of landmark buildings and an analysis of regulatory frameworks, this thesis highlights the critical contributions of architects in shaping the future of Wellington’s built environment.</w:t>
      </w:r>
    </w:p>
    <w:bookmarkEnd w:id="20"/>
    <w:bookmarkStart w:id="21" w:name="introduction"/>
    <w:p>
      <w:pPr>
        <w:pStyle w:val="Heading2"/>
      </w:pPr>
      <w:r>
        <w:t xml:space="preserve">Introduction</w:t>
      </w:r>
    </w:p>
    <w:p>
      <w:pPr>
        <w:pStyle w:val="FirstParagraph"/>
      </w:pPr>
      <w:r>
        <w:t xml:space="preserve">New Zealand Wellington stands as a dynamic hub for architectural innovation, balancing its role as the nation's political and cultural center with its commitment to environmental stewardship. For an architect working in this city, the interplay between natural landscapes—such as the dramatic coastline of Te Whanganui-a-Tara—and urban density demands a nuanced approach to design. This thesis investigates how architects in Wellington navigate these complexities while adhering to national standards like the New Zealand Building Code and contributing to international sustainability goals such as carbon neutrality by 2050.</w:t>
      </w:r>
    </w:p>
    <w:bookmarkEnd w:id="21"/>
    <w:bookmarkStart w:id="23" w:name="literature-review"/>
    <w:p>
      <w:pPr>
        <w:pStyle w:val="Heading2"/>
      </w:pPr>
      <w:r>
        <w:t xml:space="preserve">Literature Review</w:t>
      </w:r>
    </w:p>
    <w:p>
      <w:pPr>
        <w:pStyle w:val="FirstParagraph"/>
      </w:pPr>
      <w:r>
        <w:t xml:space="preserve">The architectural landscape of New Zealand has long been influenced by its indigenous Māori heritage, with traditional whare (meeting houses) embodying principles of environmental harmony and community-centric design. Modern architects in Wellington have increasingly drawn from these principles to create structures that reflect both cultural identity and ecological responsibility. Research by the New Zealand Institute of Architects emphasizes the importance of integrating passive design strategies—such as solar orientation and natural ventilation—to reduce energy consumption in a city prone to high wind speeds and variable weather patterns.</w:t>
      </w:r>
    </w:p>
    <w:bookmarkStart w:id="22" w:name="case-study-te-papa-tongarewa"/>
    <w:p>
      <w:pPr>
        <w:pStyle w:val="Heading3"/>
      </w:pPr>
      <w:r>
        <w:t xml:space="preserve">Case Study: Te Papa Tongarewa</w:t>
      </w:r>
    </w:p>
    <w:p>
      <w:pPr>
        <w:pStyle w:val="FirstParagraph"/>
      </w:pPr>
      <w:r>
        <w:t xml:space="preserve">A prime example of an architect’s impact in Wellington is the Museum of New Zealand Te Papa Tongarewa. Designed by architects Brian Mason, Ross Boyce, and David T. Smith, this iconic building merges contemporary architecture with Māori cultural symbolism through its use of local materials and spatial layout. Its success underscores the role of an architect in translating abstract concepts into functional public spaces that resonate with both national identity and global architectural standards.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analysis of existing architectural projects in Wellington with interviews from licensed architects practicing in the region. Data was collected from case studies, regulatory documents, and scholarly articles to assess trends in design innovation and compliance with local regulations. The research also examines how global challenges—such as climate resilience—shape the priorities of architects working within New Zealand’s unique socio-political framework.</w:t>
      </w:r>
    </w:p>
    <w:bookmarkEnd w:id="24"/>
    <w:bookmarkStart w:id="25" w:name="X39a533cd48d2fea7d4195bbfe39d283cbdb856b"/>
    <w:p>
      <w:pPr>
        <w:pStyle w:val="Heading2"/>
      </w:pPr>
      <w:r>
        <w:t xml:space="preserve">Key Challenges for Architects in Wellington</w:t>
      </w:r>
    </w:p>
    <w:p>
      <w:pPr>
        <w:numPr>
          <w:ilvl w:val="0"/>
          <w:numId w:val="1001"/>
        </w:numPr>
        <w:pStyle w:val="Compact"/>
      </w:pPr>
      <w:r>
        <w:t xml:space="preserve">Climate Adaptation:** Wellington’s susceptibility to flooding, landslides, and coastal erosion requires architects to prioritize flood-resistant materials and elevated structures.</w:t>
      </w:r>
    </w:p>
    <w:p>
      <w:pPr>
        <w:numPr>
          <w:ilvl w:val="0"/>
          <w:numId w:val="1001"/>
        </w:numPr>
        <w:pStyle w:val="Compact"/>
      </w:pPr>
      <w:r>
        <w:t xml:space="preserve">Cultural Integration:** Designing spaces that respect Māori tikanga (customs) while meeting modern functional needs poses a continuous challenge for architects in the region.</w:t>
      </w:r>
    </w:p>
    <w:p>
      <w:pPr>
        <w:numPr>
          <w:ilvl w:val="0"/>
          <w:numId w:val="1001"/>
        </w:numPr>
        <w:pStyle w:val="Compact"/>
      </w:pPr>
      <w:r>
        <w:t xml:space="preserve">Urban Density:** Balancing high-density development with green spaces is critical to maintaining Wellington’s quality of life, demanding innovative urban planning strategies.</w:t>
      </w:r>
    </w:p>
    <w:bookmarkEnd w:id="25"/>
    <w:bookmarkStart w:id="26" w:name="opportunities-and-innovations"/>
    <w:p>
      <w:pPr>
        <w:pStyle w:val="Heading2"/>
      </w:pPr>
      <w:r>
        <w:t xml:space="preserve">Opportunities and Innovations</w:t>
      </w:r>
    </w:p>
    <w:p>
      <w:pPr>
        <w:pStyle w:val="FirstParagraph"/>
      </w:pPr>
      <w:r>
        <w:t xml:space="preserve">New Zealand Wellington offers architects opportunities to lead in sustainable design through initiatives like the Green Building Council of New Zealand (GBCNZ). Projects such as the recently completed Courtenay Place Precinct exemplify how architects can integrate renewable energy systems, biophilic design elements, and community engagement into large-scale developments. Additionally, Wellington’s status as a UNESCO Creative City of Design positions it as a global leader in architectural experimentation.</w:t>
      </w:r>
    </w:p>
    <w:bookmarkEnd w:id="26"/>
    <w:bookmarkStart w:id="27" w:name="conclusion"/>
    <w:p>
      <w:pPr>
        <w:pStyle w:val="Heading2"/>
      </w:pPr>
      <w:r>
        <w:t xml:space="preserve">Conclusion</w:t>
      </w:r>
    </w:p>
    <w:p>
      <w:pPr>
        <w:pStyle w:val="FirstParagraph"/>
      </w:pPr>
      <w:r>
        <w:t xml:space="preserve">The role of an architect in New Zealand Wellington is multifaceted, requiring expertise in environmental sustainability, cultural sensitivity, and urban resilience. As the city continues to grow and evolve, architects will play a pivotal role in ensuring that development harmonizes with both natural ecosystems and the aspirations of its diverse population. This thesis underscores the necessity of continuous innovation and collaboration between architects, policymakers, and local communities to shape a future where Wellington remains a beacon of architectural excellence in Aotearoa New Zealand.</w:t>
      </w:r>
    </w:p>
    <w:bookmarkEnd w:id="27"/>
    <w:bookmarkStart w:id="28" w:name="references"/>
    <w:p>
      <w:pPr>
        <w:pStyle w:val="Heading2"/>
      </w:pPr>
      <w:r>
        <w:t xml:space="preserve">References</w:t>
      </w:r>
    </w:p>
    <w:p>
      <w:pPr>
        <w:pStyle w:val="FirstParagraph"/>
      </w:pPr>
      <w:r>
        <w:t xml:space="preserve">1. New Zealand Institute of Architects. (2023). *Sustainable Design Guidelines for Wellington.*</w:t>
      </w:r>
      <w:r>
        <w:br/>
      </w:r>
      <w:r>
        <w:t xml:space="preserve">2. Te Papa Tongarewa Museum. (n.d.). *Architectural Overview.* Retrieved from https://www.tepapa.govt.nz</w:t>
      </w:r>
      <w:r>
        <w:br/>
      </w:r>
      <w:r>
        <w:t xml:space="preserve">3. Green Building Council of New Zealand. (2023). *Case Study: Courtenay Place Precinct.*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New Zealand Wellington</dc:title>
  <dc:creator/>
  <cp:keywords/>
  <dcterms:created xsi:type="dcterms:W3CDTF">2026-07-21T05:01:18Z</dcterms:created>
  <dcterms:modified xsi:type="dcterms:W3CDTF">2026-07-21T05:01:18Z</dcterms:modified>
</cp:coreProperties>
</file>

<file path=docProps/custom.xml><?xml version="1.0" encoding="utf-8"?>
<Properties xmlns="http://schemas.openxmlformats.org/officeDocument/2006/custom-properties" xmlns:vt="http://schemas.openxmlformats.org/officeDocument/2006/docPropsVTypes"/>
</file>