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a788a1eacb016bd8096b5fe535b616e39fdd167"/>
    <w:p>
      <w:pPr>
        <w:pStyle w:val="Heading1"/>
      </w:pPr>
      <w:r>
        <w:t xml:space="preserve">Master Thesis: The Role of the Auditor in Germany Berlin</w:t>
      </w:r>
    </w:p>
    <w:bookmarkStart w:id="20" w:name="introduction"/>
    <w:p>
      <w:pPr>
        <w:pStyle w:val="Heading2"/>
      </w:pPr>
      <w:r>
        <w:t xml:space="preserve">Introduction</w:t>
      </w:r>
    </w:p>
    <w:p>
      <w:pPr>
        <w:pStyle w:val="FirstParagraph"/>
      </w:pPr>
      <w:r>
        <w:t xml:space="preserve">The role of an auditor is pivotal in ensuring financial transparency, compliance with regulations, and accountability within organizations. In the context of Germany Berlin, a dynamic economic hub known for its diverse industries and stringent regulatory environment, auditors play a critical role in maintaining trust among stakeholders. This Master Thesis explores the responsibilities, challenges, and evolving standards of auditors operating in Berlin’s unique legal and cultural landscape.</w:t>
      </w:r>
    </w:p>
    <w:bookmarkEnd w:id="20"/>
    <w:bookmarkStart w:id="22" w:name="the-auditors-role-in-german-companies"/>
    <w:p>
      <w:pPr>
        <w:pStyle w:val="Heading2"/>
      </w:pPr>
      <w:r>
        <w:t xml:space="preserve">The Auditor's Role in German Companies</w:t>
      </w:r>
    </w:p>
    <w:p>
      <w:pPr>
        <w:pStyle w:val="FirstParagraph"/>
      </w:pPr>
      <w:r>
        <w:t xml:space="preserve">In Germany, auditors are mandated by law under the German Commercial Code (HGB) to review the financial statements of companies with certain sizes. This obligation extends to corporations, limited liability companies (GmbH), and public entities operating in Berlin. The auditor’s primary responsibility is to ensure that financial reporting adheres to Generally Accepted Accounting Principles (GAAP) and International Financial Reporting Standards (IFRS), which are widely adopted in Germany.</w:t>
      </w:r>
    </w:p>
    <w:bookmarkStart w:id="21" w:name="key-responsibilities"/>
    <w:p>
      <w:pPr>
        <w:pStyle w:val="Heading3"/>
      </w:pPr>
      <w:r>
        <w:t xml:space="preserve">Key Responsibilities</w:t>
      </w:r>
    </w:p>
    <w:p>
      <w:pPr>
        <w:numPr>
          <w:ilvl w:val="0"/>
          <w:numId w:val="1001"/>
        </w:numPr>
        <w:pStyle w:val="Compact"/>
      </w:pPr>
      <w:r>
        <w:rPr>
          <w:bCs/>
          <w:b/>
        </w:rPr>
        <w:t xml:space="preserve">Financial Statement Verification:</w:t>
      </w:r>
      <w:r>
        <w:t xml:space="preserve"> </w:t>
      </w:r>
      <w:r>
        <w:t xml:space="preserve">Auditors assess the accuracy of financial statements, ensuring they reflect a true and fair view of the company’s financial position.</w:t>
      </w:r>
    </w:p>
    <w:p>
      <w:pPr>
        <w:numPr>
          <w:ilvl w:val="0"/>
          <w:numId w:val="1001"/>
        </w:numPr>
        <w:pStyle w:val="Compact"/>
      </w:pPr>
      <w:r>
        <w:rPr>
          <w:bCs/>
          <w:b/>
        </w:rPr>
        <w:t xml:space="preserve">Compliance Checks:</w:t>
      </w:r>
      <w:r>
        <w:t xml:space="preserve"> </w:t>
      </w:r>
      <w:r>
        <w:t xml:space="preserve">They verify adherence to German tax laws, labor regulations, and other statutory requirements specific to Berlin.</w:t>
      </w:r>
    </w:p>
    <w:p>
      <w:pPr>
        <w:numPr>
          <w:ilvl w:val="0"/>
          <w:numId w:val="1001"/>
        </w:numPr>
        <w:pStyle w:val="Compact"/>
      </w:pPr>
      <w:r>
        <w:rPr>
          <w:bCs/>
          <w:b/>
        </w:rPr>
        <w:t xml:space="preserve">Risk Management:</w:t>
      </w:r>
      <w:r>
        <w:t xml:space="preserve"> </w:t>
      </w:r>
      <w:r>
        <w:t xml:space="preserve">Auditors identify potential risks in business operations, such as fraud or mismanagement of funds.</w:t>
      </w:r>
    </w:p>
    <w:bookmarkEnd w:id="21"/>
    <w:bookmarkEnd w:id="22"/>
    <w:bookmarkStart w:id="23" w:name="X02bdae29a3ccc6fdfb3c8e1877bfff6eb594551"/>
    <w:p>
      <w:pPr>
        <w:pStyle w:val="Heading2"/>
      </w:pPr>
      <w:r>
        <w:t xml:space="preserve">The Regulatory Environment in Germany Berlin</w:t>
      </w:r>
    </w:p>
    <w:p>
      <w:pPr>
        <w:pStyle w:val="FirstParagraph"/>
      </w:pPr>
      <w:r>
        <w:t xml:space="preserve">Berlin’s regulatory framework for auditors is shaped by both national and European Union (EU) legislation. The German Federal Ministry of Finance oversees the licensing and professional conduct of auditors, while EU directives like the Audit Regulation (EU No. 1059/2013) impose additional requirements for cross-border audits.</w:t>
      </w:r>
    </w:p>
    <w:p>
      <w:pPr>
        <w:pStyle w:val="BodyText"/>
      </w:pPr>
      <w:r>
        <w:t xml:space="preserve">Auditors in Berlin must also navigate the complexities of local laws governing industries such as technology startups, manufacturing, and public administration. For example, auditors working with Berlin-based NGOs or social enterprises may need to address unique challenges related to non-profit financial reporting and transparency standards.</w:t>
      </w:r>
    </w:p>
    <w:bookmarkEnd w:id="23"/>
    <w:bookmarkStart w:id="24" w:name="challenges-faced-by-auditors-in-berlin"/>
    <w:p>
      <w:pPr>
        <w:pStyle w:val="Heading2"/>
      </w:pPr>
      <w:r>
        <w:t xml:space="preserve">Challenges Faced by Auditors in Berlin</w:t>
      </w:r>
    </w:p>
    <w:p>
      <w:pPr>
        <w:pStyle w:val="FirstParagraph"/>
      </w:pPr>
      <w:r>
        <w:t xml:space="preserve">The auditor’s role in Berlin is not without challenges. Rapid digitalization, the rise of fintech companies, and the need for real-time data analysis have increased the demand for auditors with specialized technical skills. Additionally, auditors must balance strict adherence to regulations with the flexibility required to adapt to innovative business models.</w:t>
      </w:r>
    </w:p>
    <w:p>
      <w:pPr>
        <w:pStyle w:val="BodyText"/>
      </w:pPr>
      <w:r>
        <w:t xml:space="preserve">Another significant challenge is ensuring compliance with GDPR (General Data Protection Regulation) when handling sensitive financial data. Auditors in Berlin must stay updated on evolving privacy laws and ensure that their clients’ data practices align with EU standards.</w:t>
      </w:r>
    </w:p>
    <w:bookmarkEnd w:id="24"/>
    <w:bookmarkStart w:id="25" w:name="ethical-considerations"/>
    <w:p>
      <w:pPr>
        <w:pStyle w:val="Heading2"/>
      </w:pPr>
      <w:r>
        <w:t xml:space="preserve">Ethical Considerations</w:t>
      </w:r>
    </w:p>
    <w:p>
      <w:pPr>
        <w:pStyle w:val="FirstParagraph"/>
      </w:pPr>
      <w:r>
        <w:t xml:space="preserve">Ethics are central to the auditor’s profession. In Germany, auditors are bound by the German Ethics Code for Auditors (Berufsordnung der Wirtschaftsprüfer) and must prioritize independence, objectivity, and confidentiality. In Berlin, where there is a strong emphasis on corporate social responsibility (CSR), auditors are often expected to evaluate not only financial compliance but also environmental and social impact reporting.</w:t>
      </w:r>
    </w:p>
    <w:p>
      <w:pPr>
        <w:pStyle w:val="BodyText"/>
      </w:pPr>
      <w:r>
        <w:t xml:space="preserve">For instance, auditors working with Berlin-based companies in the renewable energy sector must ensure that sustainability reports meet both IFRS and local ESG (Environmental, Social, Governance) standards. This dual focus highlights the growing intersection of auditing with corporate ethics.</w:t>
      </w:r>
    </w:p>
    <w:bookmarkEnd w:id="25"/>
    <w:bookmarkStart w:id="28" w:name="X64ed68048321b0617566918f5809f54400bf27d"/>
    <w:p>
      <w:pPr>
        <w:pStyle w:val="Heading2"/>
      </w:pPr>
      <w:r>
        <w:t xml:space="preserve">Case Studies: Auditing in Berlin’s Economic Sectors</w:t>
      </w:r>
    </w:p>
    <w:bookmarkStart w:id="26" w:name="case-study-1-tech-startups-in-berlin"/>
    <w:p>
      <w:pPr>
        <w:pStyle w:val="Heading3"/>
      </w:pPr>
      <w:r>
        <w:t xml:space="preserve">Case Study 1: Tech Startups in Berlin</w:t>
      </w:r>
    </w:p>
    <w:p>
      <w:pPr>
        <w:pStyle w:val="FirstParagraph"/>
      </w:pPr>
      <w:r>
        <w:t xml:space="preserve">Berlin is a global hub for technology startups, many of which operate under agile business models. Auditors here must adapt to the fast-paced nature of these companies, often dealing with revenue streams from international markets and complex equity structures. A key challenge is reconciling German GAAP with IFRS for multinational ventures.</w:t>
      </w:r>
    </w:p>
    <w:bookmarkEnd w:id="26"/>
    <w:bookmarkStart w:id="27" w:name="case-study-2-public-sector-auditing"/>
    <w:p>
      <w:pPr>
        <w:pStyle w:val="Heading3"/>
      </w:pPr>
      <w:r>
        <w:t xml:space="preserve">Case Study 2: Public Sector Auditing</w:t>
      </w:r>
    </w:p>
    <w:p>
      <w:pPr>
        <w:pStyle w:val="FirstParagraph"/>
      </w:pPr>
      <w:r>
        <w:t xml:space="preserve">Auditors in Berlin’s public sector, such as those working with the city government or municipal agencies, face unique demands. They must ensure transparency in public spending while adhering to EU procurement laws and local budgetary guidelines. This requires a deep understanding of both administrative and financial regulations.</w:t>
      </w:r>
    </w:p>
    <w:bookmarkEnd w:id="27"/>
    <w:bookmarkEnd w:id="28"/>
    <w:bookmarkStart w:id="29" w:name="the-future-of-auditing-in-germany-berlin"/>
    <w:p>
      <w:pPr>
        <w:pStyle w:val="Heading2"/>
      </w:pPr>
      <w:r>
        <w:t xml:space="preserve">The Future of Auditing in Germany Berlin</w:t>
      </w:r>
    </w:p>
    <w:p>
      <w:pPr>
        <w:pStyle w:val="FirstParagraph"/>
      </w:pPr>
      <w:r>
        <w:t xml:space="preserve">As Berlin continues to grow as an economic center, the role of auditors is likely to expand. Emerging trends such as AI-driven audit tools, increased focus on ESG reporting, and the integration of blockchain technology into financial systems will shape future practices. Auditors must remain agile and continuously update their skills to meet these demands.</w:t>
      </w:r>
    </w:p>
    <w:p>
      <w:pPr>
        <w:pStyle w:val="BodyText"/>
      </w:pPr>
      <w:r>
        <w:t xml:space="preserve">Moreover, with Germany’s commitment to sustainability (e.g., the Corporate Sustainability Reporting Directive – CSRD), auditors in Berlin will play a critical role in verifying the accuracy of environmental impact assessments and carbon footprint disclosures for companies operating in the region.</w:t>
      </w:r>
    </w:p>
    <w:bookmarkEnd w:id="29"/>
    <w:bookmarkStart w:id="30" w:name="conclusion"/>
    <w:p>
      <w:pPr>
        <w:pStyle w:val="Heading2"/>
      </w:pPr>
      <w:r>
        <w:t xml:space="preserve">Conclusion</w:t>
      </w:r>
    </w:p>
    <w:p>
      <w:pPr>
        <w:pStyle w:val="FirstParagraph"/>
      </w:pPr>
      <w:r>
        <w:t xml:space="preserve">This Master Thesis underscores the vital role of auditors in maintaining financial integrity and regulatory compliance within Germany Berlin’s diverse economic landscape. As an auditor, one must navigate a complex interplay of national laws, international standards, and ethical responsibilities to serve stakeholders effectively. The challenges and opportunities facing auditors in Berlin today reflect broader global trends while emphasizing the need for localized expertise tailored to this dynamic city.</w:t>
      </w:r>
    </w:p>
    <w:bookmarkEnd w:id="30"/>
    <w:bookmarkStart w:id="31" w:name="references"/>
    <w:p>
      <w:pPr>
        <w:pStyle w:val="Heading2"/>
      </w:pPr>
      <w:r>
        <w:t xml:space="preserve">References</w:t>
      </w:r>
    </w:p>
    <w:p>
      <w:pPr>
        <w:numPr>
          <w:ilvl w:val="0"/>
          <w:numId w:val="1002"/>
        </w:numPr>
        <w:pStyle w:val="Compact"/>
      </w:pPr>
      <w:r>
        <w:t xml:space="preserve">German Commercial Code (HGB), Section 203, 217.</w:t>
      </w:r>
    </w:p>
    <w:p>
      <w:pPr>
        <w:numPr>
          <w:ilvl w:val="0"/>
          <w:numId w:val="1002"/>
        </w:numPr>
        <w:pStyle w:val="Compact"/>
      </w:pPr>
      <w:r>
        <w:t xml:space="preserve">EU Audit Regulation (EU No. 1059/2013).</w:t>
      </w:r>
    </w:p>
    <w:p>
      <w:pPr>
        <w:numPr>
          <w:ilvl w:val="0"/>
          <w:numId w:val="1002"/>
        </w:numPr>
        <w:pStyle w:val="Compact"/>
      </w:pPr>
      <w:r>
        <w:t xml:space="preserve">German Ethics Code for Auditors (Berufsordnung der Wirtschaftsprüfer).</w:t>
      </w:r>
    </w:p>
    <w:p>
      <w:pPr>
        <w:numPr>
          <w:ilvl w:val="0"/>
          <w:numId w:val="1002"/>
        </w:numPr>
        <w:pStyle w:val="Compact"/>
      </w:pPr>
      <w:r>
        <w:t xml:space="preserve">International Financial Reporting Standards (IFRS) and German GAAP.</w:t>
      </w:r>
    </w:p>
    <w:p>
      <w:pPr>
        <w:numPr>
          <w:ilvl w:val="0"/>
          <w:numId w:val="1002"/>
        </w:numPr>
        <w:pStyle w:val="Compact"/>
      </w:pPr>
      <w:r>
        <w:t xml:space="preserve">Schneider, H. &amp; Rößler, A. (2021). *Auditing in the Digital Age: Challenges for German Practitioners*. Berlin Economic Review.</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Germany Berlin</dc:title>
  <dc:creator/>
  <dc:language>en</dc:language>
  <cp:keywords/>
  <dcterms:created xsi:type="dcterms:W3CDTF">2026-07-13T14:45:06Z</dcterms:created>
  <dcterms:modified xsi:type="dcterms:W3CDTF">2026-07-13T14:45:06Z</dcterms:modified>
</cp:coreProperties>
</file>

<file path=docProps/custom.xml><?xml version="1.0" encoding="utf-8"?>
<Properties xmlns="http://schemas.openxmlformats.org/officeDocument/2006/custom-properties" xmlns:vt="http://schemas.openxmlformats.org/officeDocument/2006/docPropsVTypes"/>
</file>