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in</w:t>
      </w:r>
      <w:r>
        <w:t xml:space="preserve"> </w:t>
      </w:r>
      <w:r>
        <w:t xml:space="preserve">Kuwait</w:t>
      </w:r>
      <w:r>
        <w:t xml:space="preserve"> </w:t>
      </w:r>
      <w:r>
        <w:t xml:space="preserve">City,</w:t>
      </w:r>
      <w:r>
        <w:t xml:space="preserve"> </w:t>
      </w:r>
      <w:r>
        <w:t xml:space="preserve">Kuwait</w:t>
      </w:r>
    </w:p>
    <w:p>
      <w:pPr>
        <w:pStyle w:val="FirstParagraph"/>
      </w:pPr>
      <w:r>
        <w:t xml:space="preserve">```html</w:t>
      </w:r>
    </w:p>
    <w:bookmarkStart w:id="20" w:name="X2d7a4897cf5b3d329ca9d4f0e22308b35f9bfda"/>
    <w:p>
      <w:pPr>
        <w:pStyle w:val="Heading1"/>
      </w:pPr>
      <w:r>
        <w:t xml:space="preserve">Master Thesis: The Role of Auditor in Kuwait City, Kuwait</w:t>
      </w:r>
    </w:p>
    <w:p>
      <w:pPr>
        <w:pStyle w:val="FirstParagraph"/>
      </w:pPr>
      <w:r>
        <w:rPr>
          <w:bCs/>
          <w:b/>
        </w:rPr>
        <w:t xml:space="preserve">Introduction:</w:t>
      </w:r>
    </w:p>
    <w:p>
      <w:pPr>
        <w:pStyle w:val="BodyText"/>
      </w:pPr>
      <w:r>
        <w:t xml:space="preserve">This Master Thesis explores the critical role of auditors within the economic and regulatory framework of Kuwait City, Kuwait. As a pivotal financial hub in the Gulf Cooperation Council (GCC), Kuwait City is home to numerous multinational corporations, local businesses, and public entities that rely on auditors to ensure financial transparency, compliance with laws, and ethical business practices. The thesis aims to analyze the responsibilities, challenges, and evolving trends faced by auditors in this unique socio-economic environment.</w:t>
      </w:r>
    </w:p>
    <w:p>
      <w:pPr>
        <w:pStyle w:val="BodyText"/>
      </w:pPr>
      <w:r>
        <w:rPr>
          <w:bCs/>
          <w:b/>
        </w:rPr>
        <w:t xml:space="preserve">Literature Review:</w:t>
      </w:r>
    </w:p>
    <w:p>
      <w:pPr>
        <w:pStyle w:val="BodyText"/>
      </w:pPr>
      <w:r>
        <w:t xml:space="preserve">The concept of auditing has evolved significantly over the past century, transitioning from a mere record-keeping exercise to an essential component of corporate governance. In Kuwait City, auditors operate within the framework of the Kuwait Company Law and the standards set by the Financial Reporting Council (FRC) under the Ministry of Commerce and Industry. Research highlights that auditors in GCC countries face distinct challenges compared to their counterparts in Western markets, including cultural nuances, regulatory discrepancies, and economic dependencies on oil revenues.</w:t>
      </w:r>
    </w:p>
    <w:p>
      <w:pPr>
        <w:pStyle w:val="BodyText"/>
      </w:pPr>
      <w:r>
        <w:t xml:space="preserve">Existing literature emphasizes that auditors in Kuwait City must navigate a complex landscape of Islamic financial principles, local accounting standards (KSA), and international frameworks like IFRS. Studies also note the growing demand for auditors who can reconcile traditional practices with modern compliance requirements, particularly as Kuwait diversifies its economy beyond hydrocarbons.</w:t>
      </w:r>
    </w:p>
    <w:p>
      <w:pPr>
        <w:pStyle w:val="BodyText"/>
      </w:pPr>
      <w:r>
        <w:rPr>
          <w:bCs/>
          <w:b/>
        </w:rPr>
        <w:t xml:space="preserve">Methodology:</w:t>
      </w:r>
    </w:p>
    <w:p>
      <w:pPr>
        <w:pStyle w:val="BodyText"/>
      </w:pPr>
      <w:r>
        <w:t xml:space="preserve">This Master Thesis employs a qualitative research methodology, combining case studies of audit firms in Kuwait City with semi-structured interviews of auditors, regulators, and business leaders. Data collection includes secondary sources such as annual reports from the FRC, academic publications on Gulf auditing practices, and policy documents from the Kuwait Chamber of Commerce and Industry.</w:t>
      </w:r>
    </w:p>
    <w:p>
      <w:pPr>
        <w:pStyle w:val="BodyText"/>
      </w:pPr>
      <w:r>
        <w:t xml:space="preserve">The analysis focuses on three key areas: (1) the regulatory environment governing auditors in Kuwait City, (2) the ethical dilemmas faced by auditors due to cultural and economic factors, and (3) technological advancements reshaping audit processes. The findings are contextualized within global trends in auditing while highlighting Kuwait-specific challenges.</w:t>
      </w:r>
    </w:p>
    <w:p>
      <w:pPr>
        <w:pStyle w:val="BodyText"/>
      </w:pPr>
      <w:r>
        <w:rPr>
          <w:bCs/>
          <w:b/>
        </w:rPr>
        <w:t xml:space="preserve">Findings and Discussion:</w:t>
      </w:r>
    </w:p>
    <w:p>
      <w:pPr>
        <w:pStyle w:val="BodyText"/>
      </w:pPr>
      <w:r>
        <w:t xml:space="preserve">The research reveals that auditors in Kuwait City play a dual role: ensuring compliance with both national laws and international standards. A significant challenge is the lack of alignment between KSA (Kuwait Standards of Auditing) and IFRS, which can lead to inconsistencies in financial reporting. For instance, audits of public sector entities often require adherence to Sharia-compliant financial practices, complicating the work of auditors unfamiliar with Islamic finance.</w:t>
      </w:r>
    </w:p>
    <w:p>
      <w:pPr>
        <w:pStyle w:val="BodyText"/>
      </w:pPr>
      <w:r>
        <w:t xml:space="preserve">Another key finding is the pressure on auditors to balance transparency with client relationships. In Kuwait City’s tightly knit business community, where personal ties often influence professional decisions, auditors may face resistance when recommending non-compliant practices. This tension underscores the need for stronger ethical guidelines and regulatory oversight.</w:t>
      </w:r>
    </w:p>
    <w:p>
      <w:pPr>
        <w:pStyle w:val="BodyText"/>
      </w:pPr>
      <w:r>
        <w:t xml:space="preserve">Technological adoption in auditing has also been uneven in Kuwait City compared to global markets. While some firms have integrated AI-driven tools for fraud detection and data analysis, many smaller audit entities rely on traditional methods due to resource constraints. This gap highlights the importance of government initiatives, such as the Kuwait Vision 2035, which emphasize digital transformation across sectors.</w:t>
      </w:r>
    </w:p>
    <w:p>
      <w:pPr>
        <w:pStyle w:val="BodyText"/>
      </w:pPr>
      <w:r>
        <w:rPr>
          <w:bCs/>
          <w:b/>
        </w:rPr>
        <w:t xml:space="preserve">Conclusion:</w:t>
      </w:r>
    </w:p>
    <w:p>
      <w:pPr>
        <w:pStyle w:val="BodyText"/>
      </w:pPr>
      <w:r>
        <w:t xml:space="preserve">This Master Thesis underscores the vital role of auditors in maintaining trust in Kuwait City’s financial systems. As an economic leader in the GCC, Kuwait City’s auditing profession must adapt to evolving regulatory landscapes, cultural dynamics, and technological innovations. The findings suggest that strengthening collaboration between auditors, regulators, and international bodies can enhance compliance and foster sustainable growth.</w:t>
      </w:r>
    </w:p>
    <w:p>
      <w:pPr>
        <w:pStyle w:val="BodyText"/>
      </w:pPr>
      <w:r>
        <w:t xml:space="preserve">Future research could explore the impact of cross-border audit standards on Kuwaiti firms or the role of auditors in combating financial fraud in post-oil economies. By addressing these questions, this thesis contributes to a deeper understanding of auditing practices in Kuwait City and their broader implications for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in Kuwait City, Kuwait</dc:title>
  <dc:creator/>
  <dc:language>en</dc:language>
  <cp:keywords/>
  <dcterms:created xsi:type="dcterms:W3CDTF">2026-05-02T05:44:16Z</dcterms:created>
  <dcterms:modified xsi:type="dcterms:W3CDTF">2026-05-02T05:44:16Z</dcterms:modified>
</cp:coreProperties>
</file>

<file path=docProps/custom.xml><?xml version="1.0" encoding="utf-8"?>
<Properties xmlns="http://schemas.openxmlformats.org/officeDocument/2006/custom-properties" xmlns:vt="http://schemas.openxmlformats.org/officeDocument/2006/docPropsVTypes"/>
</file>