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2e18c90d6d18fa29869650323a320b3a523127f"/>
    <w:p>
      <w:pPr>
        <w:pStyle w:val="Heading1"/>
      </w:pPr>
      <w:r>
        <w:t xml:space="preserve">Master Thesis: The Role and Challenges of Auditors in Saudi Arabia, Riyadh</w:t>
      </w:r>
    </w:p>
    <w:bookmarkStart w:id="20" w:name="abstract"/>
    <w:p>
      <w:pPr>
        <w:pStyle w:val="Heading2"/>
      </w:pPr>
      <w:r>
        <w:t xml:space="preserve">Abstract</w:t>
      </w:r>
    </w:p>
    <w:p>
      <w:pPr>
        <w:pStyle w:val="FirstParagraph"/>
      </w:pPr>
      <w:r>
        <w:t xml:space="preserve">This Master Thesis explores the critical role of auditors in the context of Saudi Arabia’s rapidly evolving business environment, with a specific focus on Riyadh. As a hub for economic and financial activities in the kingdom, Riyadh presents unique challenges and opportunities for auditors navigating local regulations, cultural dynamics, and global standards. This study examines how auditors contribute to transparency, accountability, and compliance in Saudi Arabian corporations while adapting to regional priorities such as Vision 2030. The research highlights the importance of auditor independence, ethical standards, and technological integration in Riyadh’s financial sector.</w:t>
      </w:r>
    </w:p>
    <w:bookmarkEnd w:id="20"/>
    <w:bookmarkStart w:id="21" w:name="introduction"/>
    <w:p>
      <w:pPr>
        <w:pStyle w:val="Heading2"/>
      </w:pPr>
      <w:r>
        <w:t xml:space="preserve">Introduction</w:t>
      </w:r>
    </w:p>
    <w:p>
      <w:pPr>
        <w:pStyle w:val="FirstParagraph"/>
      </w:pPr>
      <w:r>
        <w:t xml:space="preserve">Saudi Arabia’s economic transformation under Vision 2030 has significantly increased the demand for skilled auditors capable of meeting international auditing standards while aligning with local regulatory frameworks. Riyadh, as the capital and primary business center, hosts a diverse range of financial institutions, private enterprises, and public sector organizations that rely on auditors to ensure financial integrity. This thesis investigates the role of auditors in Riyadh’s economic landscape, emphasizing their responsibility to uphold transparency amid rapid industrialization and digitalization.</w:t>
      </w:r>
    </w:p>
    <w:bookmarkEnd w:id="21"/>
    <w:bookmarkStart w:id="22" w:name="contextual-background"/>
    <w:p>
      <w:pPr>
        <w:pStyle w:val="Heading2"/>
      </w:pPr>
      <w:r>
        <w:t xml:space="preserve">Contextual Background</w:t>
      </w:r>
    </w:p>
    <w:p>
      <w:pPr>
        <w:pStyle w:val="FirstParagraph"/>
      </w:pPr>
      <w:r>
        <w:t xml:space="preserve">Saudi Arabia’s regulatory environment for auditing is governed by the Saudi Arabian Standards Organization (SASO) and the Ministry of Commerce and Investment (MOCI). Auditors in Riyadh must comply with both national standards, such as SA 100-650, and international frameworks like International Standards on Auditing (ISA). The kingdom’s push toward economic diversification has intensified the need for auditors who can navigate complex financial systems while addressing sector-specific risks. Additionally, cultural factors in Riyadh—such as strong emphasis on trust and relationships—shape the auditor-client dynamic.</w:t>
      </w:r>
    </w:p>
    <w:bookmarkEnd w:id="22"/>
    <w:bookmarkStart w:id="23" w:name="literature-review"/>
    <w:p>
      <w:pPr>
        <w:pStyle w:val="Heading2"/>
      </w:pPr>
      <w:r>
        <w:t xml:space="preserve">Literature Review</w:t>
      </w:r>
    </w:p>
    <w:p>
      <w:pPr>
        <w:pStyle w:val="FirstParagraph"/>
      </w:pPr>
      <w:r>
        <w:t xml:space="preserve">Existing research underscores the significance of auditor independence in maintaining public confidence in financial reporting. However, studies specific to Saudi Arabia often highlight gaps between theoretical standards and practical implementation. For instance, a 2021 study by Al-Harbi et al. found that auditors in Riyadh face challenges related to limited access to digital audit tools and resistance from traditional business practices. Another study by Al-Mansour (2020) emphasized the role of auditors in mitigating risks associated with corporate governance reforms under Vision 2030.</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surveys. Data was collected from 50 auditors and financial professionals in Riyadh between January and June 2024. Semi-structured interviews explored challenges related to regulatory compliance, cultural barriers, and technological adoption. Additionally, secondary data from the Saudi Stock Exchange (Tadawul) and the Accounting and Auditing Organization for Islamic Financial Institutions (AAOIF) provided context on industry trends.</w:t>
      </w:r>
    </w:p>
    <w:bookmarkEnd w:id="24"/>
    <w:bookmarkStart w:id="25" w:name="key-findings"/>
    <w:p>
      <w:pPr>
        <w:pStyle w:val="Heading2"/>
      </w:pPr>
      <w:r>
        <w:t xml:space="preserve">Key Findings</w:t>
      </w:r>
    </w:p>
    <w:p>
      <w:pPr>
        <w:numPr>
          <w:ilvl w:val="0"/>
          <w:numId w:val="1001"/>
        </w:numPr>
        <w:pStyle w:val="Compact"/>
      </w:pPr>
      <w:r>
        <w:rPr>
          <w:bCs/>
          <w:b/>
        </w:rPr>
        <w:t xml:space="preserve">Regulatory Complexity:</w:t>
      </w:r>
      <w:r>
        <w:t xml:space="preserve"> </w:t>
      </w:r>
      <w:r>
        <w:t xml:space="preserve">Auditors in Riyadh must balance compliance with Saudi standards, Islamic financial principles, and international guidelines. For example, auditing Sharia-compliant financial institutions requires specialized knowledge of AAOIF regulations.</w:t>
      </w:r>
    </w:p>
    <w:p>
      <w:pPr>
        <w:numPr>
          <w:ilvl w:val="0"/>
          <w:numId w:val="1001"/>
        </w:numPr>
        <w:pStyle w:val="Compact"/>
      </w:pPr>
      <w:r>
        <w:rPr>
          <w:bCs/>
          <w:b/>
        </w:rPr>
        <w:t xml:space="preserve">Cultural Dynamics:</w:t>
      </w:r>
      <w:r>
        <w:t xml:space="preserve"> </w:t>
      </w:r>
      <w:r>
        <w:t xml:space="preserve">Trust-based relationships in Riyadh often influence audit outcomes. While this fosters collaboration, it can also create conflicts of interest if auditors prioritize client demands over independent judgment.</w:t>
      </w:r>
    </w:p>
    <w:p>
      <w:pPr>
        <w:numPr>
          <w:ilvl w:val="0"/>
          <w:numId w:val="1001"/>
        </w:numPr>
        <w:pStyle w:val="Compact"/>
      </w:pPr>
      <w:r>
        <w:rPr>
          <w:bCs/>
          <w:b/>
        </w:rPr>
        <w:t xml:space="preserve">Digital Transformation:</w:t>
      </w:r>
      <w:r>
        <w:t xml:space="preserve"> </w:t>
      </w:r>
      <w:r>
        <w:t xml:space="preserve">Despite the kingdom’s push for innovation, many auditors in Riyadh report limited adoption of AI and blockchain technologies to enhance audit efficiency. This gap highlights a need for targeted training programs.</w:t>
      </w:r>
    </w:p>
    <w:bookmarkEnd w:id="25"/>
    <w:bookmarkStart w:id="26" w:name="discussion"/>
    <w:p>
      <w:pPr>
        <w:pStyle w:val="Heading2"/>
      </w:pPr>
      <w:r>
        <w:t xml:space="preserve">Discussion</w:t>
      </w:r>
    </w:p>
    <w:p>
      <w:pPr>
        <w:pStyle w:val="FirstParagraph"/>
      </w:pPr>
      <w:r>
        <w:t xml:space="preserve">The findings reveal that auditors in Riyadh are pivotal in aligning corporate financial practices with national economic goals while addressing unique challenges. For instance, the integration of Islamic finance principles into audits requires auditors to balance ethical considerations with technical accuracy. Furthermore, the cultural emphasis on relationships in Riyadh necessitates a nuanced approach to maintaining auditor independence.</w:t>
      </w:r>
    </w:p>
    <w:p>
      <w:pPr>
        <w:pStyle w:val="BodyText"/>
      </w:pPr>
      <w:r>
        <w:t xml:space="preserve">Technological advancements present both opportunities and obstacles. While digital tools like cloud-based audit software can improve transparency, adoption rates remain low due to resource constraints and resistance from traditional firms. This underscores the need for government initiatives to support auditors in adopting modern practices, such as the National Transformation Program’s focus on digital infrastructure.</w:t>
      </w:r>
    </w:p>
    <w:bookmarkEnd w:id="26"/>
    <w:bookmarkStart w:id="27" w:name="conclusion"/>
    <w:p>
      <w:pPr>
        <w:pStyle w:val="Heading2"/>
      </w:pPr>
      <w:r>
        <w:t xml:space="preserve">Conclusion</w:t>
      </w:r>
    </w:p>
    <w:p>
      <w:pPr>
        <w:pStyle w:val="FirstParagraph"/>
      </w:pPr>
      <w:r>
        <w:t xml:space="preserve">This Master Thesis highlights the indispensable role of auditors in ensuring financial accountability and compliance within Saudi Arabia’s dynamic economy, particularly in Riyadh. As the kingdom advances toward Vision 2030, auditors must navigate a complex interplay of regulatory, cultural, and technological factors. Future research should explore strategies to enhance auditor training programs tailored to Riyadh’s context and evaluate the long-term impact of digital tools on audit quality.</w:t>
      </w:r>
    </w:p>
    <w:bookmarkEnd w:id="27"/>
    <w:bookmarkStart w:id="28" w:name="recommendations"/>
    <w:p>
      <w:pPr>
        <w:pStyle w:val="Heading2"/>
      </w:pPr>
      <w:r>
        <w:t xml:space="preserve">Recommendations</w:t>
      </w:r>
    </w:p>
    <w:p>
      <w:pPr>
        <w:numPr>
          <w:ilvl w:val="0"/>
          <w:numId w:val="1002"/>
        </w:numPr>
        <w:pStyle w:val="Compact"/>
      </w:pPr>
      <w:r>
        <w:t xml:space="preserve">Develop localized training modules for auditors in Riyadh focusing on Islamic finance and digital auditing.</w:t>
      </w:r>
    </w:p>
    <w:p>
      <w:pPr>
        <w:numPr>
          <w:ilvl w:val="0"/>
          <w:numId w:val="1002"/>
        </w:numPr>
        <w:pStyle w:val="Compact"/>
      </w:pPr>
      <w:r>
        <w:t xml:space="preserve">Encourage collaboration between regulatory bodies (e.g., MOCI) and audit firms to streamline compliance processes.</w:t>
      </w:r>
    </w:p>
    <w:p>
      <w:pPr>
        <w:numPr>
          <w:ilvl w:val="0"/>
          <w:numId w:val="1002"/>
        </w:numPr>
        <w:pStyle w:val="Compact"/>
      </w:pPr>
      <w:r>
        <w:t xml:space="preserve">Promote public awareness campaigns to reinforce the importance of auditor independence in Riyadh’s business environment.</w:t>
      </w:r>
    </w:p>
    <w:p>
      <w:pPr>
        <w:pStyle w:val="FirstParagraph"/>
      </w:pPr>
      <w:r>
        <w:rPr>
          <w:bCs/>
          <w:b/>
        </w:rPr>
        <w:t xml:space="preserve">Keywords:</w:t>
      </w:r>
      <w:r>
        <w:t xml:space="preserve"> </w:t>
      </w:r>
      <w:r>
        <w:t xml:space="preserve">Auditor, Saudi Arabia, Riyadh, Vision 2030, Financial Compliance, Digital Auditing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Saudi Arabia Riyadh</dc:title>
  <dc:creator/>
  <dc:language>en</dc:language>
  <cp:keywords/>
  <dcterms:created xsi:type="dcterms:W3CDTF">2026-04-30T04:54:45Z</dcterms:created>
  <dcterms:modified xsi:type="dcterms:W3CDTF">2026-04-30T04:54:45Z</dcterms:modified>
</cp:coreProperties>
</file>

<file path=docProps/custom.xml><?xml version="1.0" encoding="utf-8"?>
<Properties xmlns="http://schemas.openxmlformats.org/officeDocument/2006/custom-properties" xmlns:vt="http://schemas.openxmlformats.org/officeDocument/2006/docPropsVTypes"/>
</file>