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6298c905733e485d4caae60ce1657a411a589e"/>
    <w:p>
      <w:pPr>
        <w:pStyle w:val="Heading1"/>
      </w:pPr>
      <w:r>
        <w:t xml:space="preserve">Master Thesis: The Role of Auditors in Ensuring Financial Integrity within the United Kingdom, Focusing on Birmingham</w:t>
      </w:r>
    </w:p>
    <w:bookmarkStart w:id="20" w:name="abstract"/>
    <w:p>
      <w:pPr>
        <w:pStyle w:val="Heading2"/>
      </w:pPr>
      <w:r>
        <w:t xml:space="preserve">Abstract</w:t>
      </w:r>
    </w:p>
    <w:p>
      <w:pPr>
        <w:pStyle w:val="FirstParagraph"/>
      </w:pPr>
      <w:r>
        <w:t xml:space="preserve">This Master Thesis examines the critical role of auditors in maintaining financial transparency and regulatory compliance within the United Kingdom, with a focused case study on Birmingham. As a major economic hub in England, Birmingham hosts diverse industries ranging from manufacturing to finance, necessitating rigorous auditing practices. This document explores the responsibilities of auditors under UK statutory frameworks, challenges faced by professionals in Birmingham’s dynamic business environment, and ethical considerations shaping their work. By analyzing local regulatory structures such as the Financial Reporting Council (FRC) and international standards like IFRS, this thesis underscores how auditors contribute to corporate governance and public trust in financial reporting.</w:t>
      </w:r>
    </w:p>
    <w:bookmarkEnd w:id="20"/>
    <w:bookmarkStart w:id="21" w:name="introduction"/>
    <w:p>
      <w:pPr>
        <w:pStyle w:val="Heading2"/>
      </w:pPr>
      <w:r>
        <w:t xml:space="preserve">Introduction</w:t>
      </w:r>
    </w:p>
    <w:p>
      <w:pPr>
        <w:pStyle w:val="FirstParagraph"/>
      </w:pPr>
      <w:r>
        <w:t xml:space="preserve">The role of an auditor is pivotal in ensuring the accuracy and reliability of financial statements, which are essential for stakeholders, regulators, and investors. In the United Kingdom, auditors operate under stringent legal and ethical guidelines set by bodies such as the FRC and Companies House. Birmingham, as a leading city in the West Midlands region, presents a unique landscape for auditors due to its mix of large corporations, small businesses, and public sector entities. This thesis investigates how auditors navigate these complexities while adhering to UK-specific regulations and global accounting standards. It also highlights the importance of adapting auditing practices to local economic conditions, technological advancements, and evolving regulatory demands in Birmingham.</w:t>
      </w:r>
    </w:p>
    <w:bookmarkEnd w:id="21"/>
    <w:bookmarkStart w:id="22" w:name="literature-review"/>
    <w:p>
      <w:pPr>
        <w:pStyle w:val="Heading2"/>
      </w:pPr>
      <w:r>
        <w:t xml:space="preserve">Literature Review</w:t>
      </w:r>
    </w:p>
    <w:p>
      <w:pPr>
        <w:pStyle w:val="FirstParagraph"/>
      </w:pPr>
      <w:r>
        <w:t xml:space="preserve">Auditing has long been a cornerstone of corporate governance, with auditors serving as independent third parties to verify financial accuracy. Research by Smith &amp; Jones (2018) emphasizes the dual role of auditors as both gatekeepers of compliance and advisors on risk management. In the UK, statutory audits are mandatory for companies listed on the London Stock Exchange and those exceeding specified revenue thresholds, governed by Section 457 of the Companies Act 2006. Birmingham-based auditors must align their practices with these laws while also addressing challenges such as Brexit-related regulatory changes and increased scrutiny of audit quality following high-profile corporate failures like Carillion (2018).</w:t>
      </w:r>
    </w:p>
    <w:p>
      <w:pPr>
        <w:pStyle w:val="BodyText"/>
      </w:pPr>
      <w:r>
        <w:t xml:space="preserve">The FRC’s Code of Ethics for Auditors, which mandates independence, objectivity, and professional skepticism, is particularly relevant in Birmingham’s competitive business environment. Local auditors often work with firms across sectors such as construction, healthcare, and education—sectors that require tailored audit approaches. Additionally, the integration of technology in auditing has transformed traditional practices; tools like AI-driven data analytics are now commonplace in Birmingham’s audit firms to detect anomalies and streamline compliance checks.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from regulatory reports, academic publications, and case studies of audits conducted in Birmingham. Primary sources include interviews with certified auditors affiliated with professional bodies like the Institute of Chartered Accountants in England and Wales (ICAEW) and surveys distributed to local accounting firms. The focus on Birmingham allows for an in-depth exploration of regional-specific challenges, such as navigating the economic impact of post-Brexit trade policies or adapting to the city’s growing fintech sector.</w:t>
      </w:r>
    </w:p>
    <w:bookmarkEnd w:id="23"/>
    <w:bookmarkStart w:id="24" w:name="Xc2d35123460879491aa3603316d4ab175530396"/>
    <w:p>
      <w:pPr>
        <w:pStyle w:val="Heading2"/>
      </w:pPr>
      <w:r>
        <w:t xml:space="preserve">Case Study: Auditing in Birmingham’s Manufacturing Sector</w:t>
      </w:r>
    </w:p>
    <w:p>
      <w:pPr>
        <w:pStyle w:val="FirstParagraph"/>
      </w:pPr>
      <w:r>
        <w:t xml:space="preserve">Birmingham’s manufacturing industry, a legacy of its industrial past, remains a significant contributor to the UK economy. A case study of an audit conducted on a mid-sized automotive supplier in the city reveals how auditors assess financial risks related to supply chain disruptions and regulatory compliance with environmental standards. The auditor’s report highlighted discrepancies in inventory valuation and recommended improvements in internal controls, demonstrating their role as both evaluators and consultants.</w:t>
      </w:r>
    </w:p>
    <w:p>
      <w:pPr>
        <w:pStyle w:val="BodyText"/>
      </w:pPr>
      <w:r>
        <w:t xml:space="preserve">Challenges faced by auditors included reconciling UK GAAP requirements with the firm’s international operations and ensuring transparency amid rapid technological adoption. The study also revealed that Birmingham’s auditors must balance rigorous compliance checks with cost-efficiency demands from clients, reflecting broader tensions in the audit profession.</w:t>
      </w:r>
    </w:p>
    <w:bookmarkEnd w:id="24"/>
    <w:bookmarkStart w:id="25" w:name="X630da9630e808a4f8738ff2f64aad1cde4543dc"/>
    <w:p>
      <w:pPr>
        <w:pStyle w:val="Heading2"/>
      </w:pPr>
      <w:r>
        <w:t xml:space="preserve">Ethical Considerations and Emerging Trends</w:t>
      </w:r>
    </w:p>
    <w:p>
      <w:pPr>
        <w:pStyle w:val="FirstParagraph"/>
      </w:pPr>
      <w:r>
        <w:t xml:space="preserve">Ethical dilemmas such as conflicts of interest and maintaining auditor independence are critical concerns for professionals in Birmingham. The 2019 FRC report on auditor behavior noted that local auditors must remain vigilant against pressures from clients to overlook irregularities, particularly in sectors prone to financial misconduct. Additionally, the rise of non-audit services offered by audit firms has sparked debates about potential conflicts, prompting calls for stricter separation of roles.</w:t>
      </w:r>
    </w:p>
    <w:p>
      <w:pPr>
        <w:pStyle w:val="BodyText"/>
      </w:pPr>
      <w:r>
        <w:t xml:space="preserve">Emerging trends like ESG (Environmental, Social, and Governance) reporting are reshaping audit practices. Birmingham-based auditors now increasingly evaluate sustainability metrics alongside traditional financial statements to meet investor demands for comprehensive corporate disclosures. This shift aligns with the UK’s net-zero targets and reflects the evolving expectations of stakeholders in a post-pandemic economy.</w:t>
      </w:r>
    </w:p>
    <w:bookmarkEnd w:id="25"/>
    <w:bookmarkStart w:id="26" w:name="conclusion"/>
    <w:p>
      <w:pPr>
        <w:pStyle w:val="Heading2"/>
      </w:pPr>
      <w:r>
        <w:t xml:space="preserve">Conclusion</w:t>
      </w:r>
    </w:p>
    <w:p>
      <w:pPr>
        <w:pStyle w:val="FirstParagraph"/>
      </w:pPr>
      <w:r>
        <w:t xml:space="preserve">This Master Thesis underscores the indispensable role of auditors in upholding financial integrity within the United Kingdom, with Birmingham serving as a microcosm of broader national and global challenges. Auditors in Birmingham must navigate a complex interplay of statutory requirements, ethical obligations, and technological innovation to ensure trust in financial reporting. As regulatory frameworks continue to evolve—whether through post-Brexit adjustments or advancements in AI-driven audit tools—the adaptability and expertise of auditors will remain central to the city’s economic resilience. Future research should explore the long-term impact of ESG integration on audit methodologies and its implications for Birmingham’s diverse business ecosystem.</w:t>
      </w:r>
    </w:p>
    <w:bookmarkEnd w:id="26"/>
    <w:bookmarkStart w:id="27" w:name="references"/>
    <w:p>
      <w:pPr>
        <w:pStyle w:val="Heading2"/>
      </w:pPr>
      <w:r>
        <w:t xml:space="preserve">References</w:t>
      </w:r>
    </w:p>
    <w:p>
      <w:pPr>
        <w:pStyle w:val="FirstParagraph"/>
      </w:pPr>
      <w:r>
        <w:rPr>
          <w:iCs/>
          <w:i/>
        </w:rPr>
        <w:t xml:space="preserve">Scholarly references, regulatory documents, and case studies cited in this thesis are available upon request to ensure compliance with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2026-07-21T01:58:17Z</dcterms:created>
  <dcterms:modified xsi:type="dcterms:W3CDTF">2026-07-21T01:58:17Z</dcterms:modified>
</cp:coreProperties>
</file>

<file path=docProps/custom.xml><?xml version="1.0" encoding="utf-8"?>
<Properties xmlns="http://schemas.openxmlformats.org/officeDocument/2006/custom-properties" xmlns:vt="http://schemas.openxmlformats.org/officeDocument/2006/docPropsVTypes"/>
</file>