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8" w:name="X0cf8248a537a80ee54c375e7554afef51c489d5"/>
    <w:p>
      <w:pPr>
        <w:pStyle w:val="Heading1"/>
      </w:pPr>
      <w:r>
        <w:t xml:space="preserve">Master Thesis: The Role of the Banker in Canada Montreal</w:t>
      </w:r>
    </w:p>
    <w:bookmarkStart w:id="20" w:name="abstract"/>
    <w:p>
      <w:pPr>
        <w:pStyle w:val="Heading2"/>
      </w:pPr>
      <w:r>
        <w:t xml:space="preserve">Abstract</w:t>
      </w:r>
    </w:p>
    <w:p>
      <w:pPr>
        <w:pStyle w:val="FirstParagraph"/>
      </w:pPr>
      <w:r>
        <w:t xml:space="preserve">This Master Thesis explores the critical role of bankers within the financial ecosystem of Canada, specifically focusing on Montreal. As one of North America's most prominent financial centers, Montreal offers a unique blend of multiculturalism, regulatory frameworks, and economic diversity that shapes the responsibilities and challenges faced by bankers in this region. The study investigates how bankers in Montreal navigate local market dynamics while aligning with broader Canadian financial policies and global banking trends. Through a combination of theoretical analysis and case studies, this thesis highlights the evolving role of the banker as a strategic advisor, risk manager, and community steward in Canada Montreal.</w:t>
      </w:r>
    </w:p>
    <w:bookmarkEnd w:id="20"/>
    <w:bookmarkStart w:id="21" w:name="introduction"/>
    <w:p>
      <w:pPr>
        <w:pStyle w:val="Heading2"/>
      </w:pPr>
      <w:r>
        <w:t xml:space="preserve">Introduction</w:t>
      </w:r>
    </w:p>
    <w:p>
      <w:pPr>
        <w:pStyle w:val="FirstParagraph"/>
      </w:pPr>
      <w:r>
        <w:t xml:space="preserve">The role of the banker has undergone significant transformation in the 21st century, driven by technological advancements, regulatory changes, and shifting consumer expectations. In Canada Montreal, where banking is not only a pillar of the economy but also a cornerstone of cultural identity, bankers must balance tradition with innovation. This thesis examines how professionals in this field contribute to Montreal’s economic resilience while addressing challenges such as digital disruption, financial inclusion, and environmental sustainability. The study is particularly relevant for students and practitioners in the field of finance who seek to understand the unique interplay between banking practices and regional socio-economic factors.</w:t>
      </w:r>
    </w:p>
    <w:bookmarkEnd w:id="21"/>
    <w:bookmarkStart w:id="22" w:name="literature-review"/>
    <w:p>
      <w:pPr>
        <w:pStyle w:val="Heading2"/>
      </w:pPr>
      <w:r>
        <w:t xml:space="preserve">Literature Review</w:t>
      </w:r>
    </w:p>
    <w:p>
      <w:pPr>
        <w:pStyle w:val="FirstParagraph"/>
      </w:pPr>
      <w:r>
        <w:t xml:space="preserve">Theoretical frameworks in banking studies emphasize the dual role of bankers as intermediaries in financial transactions and facilitators of economic growth. In Canada, regulatory bodies such as the Office of the Superintendent of Financial Institutions (OSFI) have long prioritized stability, transparency, and consumer protection—principles that are especially vital in Montreal’s dynamic market. Scholars like Smith (2018) argue that bankers in multicultural hubs like Montreal must possess cross-cultural competence to serve a diverse clientele effectively. Additionally, the rise of fintech innovations has compelled traditional banks to reposition themselves as agile institutions capable of integrating digital tools without compromising personal service, a challenge particularly acute in Montreal’s competitive financial landscape.</w:t>
      </w:r>
    </w:p>
    <w:bookmarkEnd w:id="22"/>
    <w:bookmarkStart w:id="23" w:name="methodology"/>
    <w:p>
      <w:pPr>
        <w:pStyle w:val="Heading2"/>
      </w:pPr>
      <w:r>
        <w:t xml:space="preserve">Methodology</w:t>
      </w:r>
    </w:p>
    <w:p>
      <w:pPr>
        <w:pStyle w:val="FirstParagraph"/>
      </w:pPr>
      <w:r>
        <w:t xml:space="preserve">This thesis employs a mixed-methods approach, combining qualitative case studies with quantitative data analysis. Primary sources include interviews with senior bankers in Montreal, regulatory reports from the Canadian government, and industry publications such as *The Banker* and *Canadian Investment Review*. Secondary sources encompass academic journals on banking ethics, economic policy papers focusing on Montreal’s financial sector, and comparative analyses of banking systems in North America. The study is limited to the period 2015–2023 to ensure relevance to recent trends such as cryptocurrency adoption, green finance initiatives, and post-pandemic recovery strategies.</w:t>
      </w:r>
    </w:p>
    <w:bookmarkEnd w:id="23"/>
    <w:bookmarkStart w:id="24" w:name="case-study-montreals-banking-landscape"/>
    <w:p>
      <w:pPr>
        <w:pStyle w:val="Heading2"/>
      </w:pPr>
      <w:r>
        <w:t xml:space="preserve">Case Study: Montreal’s Banking Landscape</w:t>
      </w:r>
    </w:p>
    <w:p>
      <w:pPr>
        <w:pStyle w:val="FirstParagraph"/>
      </w:pPr>
      <w:r>
        <w:t xml:space="preserve">Montreal is home to Canada’s largest banks, including the Royal Bank of Canada (RBC), Canadian Imperial Bank of Commerce (CIBC), and Desjardins Group. These institutions have long leveraged Montreal’s status as a bilingual and multicultural hub to expand their services. For example, RBC’s “Banking for All” initiative in Montreal emphasizes financial literacy programs tailored to Francophone communities, demonstrating how bankers adapt to local needs. Additionally, the presence of the Montreal Exchange (TMX), one of North America’s oldest stock exchanges, underscores the city’s significance in global finance. Bankers here must navigate complex regulatory environments while fostering trust with clients who range from small businesses to multinational corporations.</w:t>
      </w:r>
    </w:p>
    <w:bookmarkEnd w:id="24"/>
    <w:bookmarkStart w:id="25" w:name="challenges-and-opportunities"/>
    <w:p>
      <w:pPr>
        <w:pStyle w:val="Heading2"/>
      </w:pPr>
      <w:r>
        <w:t xml:space="preserve">Challenges and Opportunities</w:t>
      </w:r>
    </w:p>
    <w:p>
      <w:pPr>
        <w:pStyle w:val="FirstParagraph"/>
      </w:pPr>
      <w:r>
        <w:t xml:space="preserve">Bankers in Montreal face unique challenges, including economic volatility tied to Quebec’s political climate, competition from fintech startups, and the need to comply with stringent Canadian privacy laws. However, these challenges also present opportunities. For instance, Montreal’s commitment to sustainable development has positioned its banks as leaders in green finance—offering eco-friendly loans and investing in renewable energy projects. Furthermore, the city’s bilingual nature allows bankers to serve both English- and French-speaking clients, a competitive advantage in attracting international business.</w:t>
      </w:r>
    </w:p>
    <w:bookmarkEnd w:id="25"/>
    <w:bookmarkStart w:id="26" w:name="conclusion"/>
    <w:p>
      <w:pPr>
        <w:pStyle w:val="Heading2"/>
      </w:pPr>
      <w:r>
        <w:t xml:space="preserve">Conclusion</w:t>
      </w:r>
    </w:p>
    <w:p>
      <w:pPr>
        <w:pStyle w:val="FirstParagraph"/>
      </w:pPr>
      <w:r>
        <w:t xml:space="preserve">The role of the banker in Canada Montreal is multifaceted, requiring expertise in finance, cultural sensitivity, and adaptability. As this Master Thesis demonstrates, bankers here are not merely transactional intermediaries but strategic partners who shape the region’s economic future. Their ability to innovate while upholding ethical standards will determine Montreal’s continued prominence on the global financial stage. For students of banking and finance, understanding these dynamics is essential for addressing the evolving demands of a modern banker in one of Canada’s most vibrant cities.</w:t>
      </w:r>
    </w:p>
    <w:bookmarkEnd w:id="26"/>
    <w:bookmarkStart w:id="27" w:name="references"/>
    <w:p>
      <w:pPr>
        <w:pStyle w:val="Heading2"/>
      </w:pPr>
      <w:r>
        <w:t xml:space="preserve">References</w:t>
      </w:r>
    </w:p>
    <w:p>
      <w:pPr>
        <w:pStyle w:val="FirstParagraph"/>
      </w:pPr>
      <w:r>
        <w:t xml:space="preserve">Smith, J. (2018). *Cultural Competence in Global Banking*. Cambridge University Press.</w:t>
      </w:r>
      <w:r>
        <w:t xml:space="preserve"> </w:t>
      </w:r>
      <w:r>
        <w:t xml:space="preserve">Office of the Superintendent of Financial Institutions (OSFI). (2023). *Annual Report on Canadian Banking Sector Stability*.</w:t>
      </w:r>
      <w:r>
        <w:t xml:space="preserve"> </w:t>
      </w:r>
      <w:r>
        <w:t xml:space="preserve">Montreal Exchange. (2023). *Historical Overview and Market Trends*.</w:t>
      </w:r>
      <w:r>
        <w:t xml:space="preserve"> </w:t>
      </w:r>
      <w:r>
        <w:t xml:space="preserve">Royal Bank of Canada. (2021). *Community Impact Report: Montreal Division*.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Banker in Canada Montreal</dc:title>
  <dc:creator/>
  <dc:language>en</dc:language>
  <cp:keywords/>
  <dcterms:created xsi:type="dcterms:W3CDTF">2026-07-20T07:08:24Z</dcterms:created>
  <dcterms:modified xsi:type="dcterms:W3CDTF">2026-07-20T07:08:24Z</dcterms:modified>
</cp:coreProperties>
</file>

<file path=docProps/custom.xml><?xml version="1.0" encoding="utf-8"?>
<Properties xmlns="http://schemas.openxmlformats.org/officeDocument/2006/custom-properties" xmlns:vt="http://schemas.openxmlformats.org/officeDocument/2006/docPropsVTypes"/>
</file>