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06861cf1c41615d2f6170a4e8254deb2e9b576d"/>
    <w:p>
      <w:pPr>
        <w:pStyle w:val="Heading1"/>
      </w:pPr>
      <w:r>
        <w:t xml:space="preserve">Master Thesis: The Role of the Banker in China Beijing</w:t>
      </w:r>
    </w:p>
    <w:bookmarkStart w:id="20" w:name="abstract"/>
    <w:p>
      <w:pPr>
        <w:pStyle w:val="Heading2"/>
      </w:pPr>
      <w:r>
        <w:t xml:space="preserve">Abstract</w:t>
      </w:r>
    </w:p>
    <w:p>
      <w:pPr>
        <w:pStyle w:val="FirstParagraph"/>
      </w:pPr>
      <w:r>
        <w:t xml:space="preserve">This Master Thesis explores the evolving role of a banker within the dynamic financial landscape of China, with a specific focus on Beijing, the political and economic heart of the country. As China continues to emerge as a global financial hub, Beijing has become a critical center for banking innovation, regulatory frameworks, and cross-border investment. The thesis examines how bankers in this region navigate challenges such as rapid technological advancements, stringent regulatory environments under the Chinese government's oversight (e.g., CBIRC), and the pressures of globalization. By analyzing case studies of leading banks operating in Beijing, this study highlights the strategic importance of Beijing as a financial nexus and underscores the adaptability required by bankers to thrive in this unique ecosystem. The findings aim to provide insights for policymakers, banking professionals, and academic researchers on how China's capital city shapes the future of banking.</w:t>
      </w:r>
    </w:p>
    <w:bookmarkEnd w:id="20"/>
    <w:bookmarkStart w:id="21" w:name="introduction"/>
    <w:p>
      <w:pPr>
        <w:pStyle w:val="Heading2"/>
      </w:pPr>
      <w:r>
        <w:t xml:space="preserve">Introduction</w:t>
      </w:r>
    </w:p>
    <w:p>
      <w:pPr>
        <w:pStyle w:val="FirstParagraph"/>
      </w:pPr>
      <w:r>
        <w:t xml:space="preserve">The Master Thesis titled "The Role of the Banker in China Beijing" delves into the intersection of finance, regulation, and innovation within one of Asia’s most influential cities. Beijing, as a global financial center, hosts major banks such as Industrial and Commercial Bank of China (ICBC), China Construction Bank (CCB), and foreign institutions like HSBC and Standard Chartered. The banker in this context is not merely a financial intermediary but a pivotal actor in driving economic growth, managing risk, and complying with policies that align with China's long-term strategic goals. This thesis investigates the unique challenges and opportunities faced by bankers operating in Beijing, emphasizing its role as a bridge between domestic economic stability and international financial integration.</w:t>
      </w:r>
    </w:p>
    <w:bookmarkEnd w:id="21"/>
    <w:bookmarkStart w:id="22" w:name="literature-review"/>
    <w:p>
      <w:pPr>
        <w:pStyle w:val="Heading2"/>
      </w:pPr>
      <w:r>
        <w:t xml:space="preserve">Literature Review</w:t>
      </w:r>
    </w:p>
    <w:p>
      <w:pPr>
        <w:pStyle w:val="FirstParagraph"/>
      </w:pPr>
      <w:r>
        <w:t xml:space="preserve">Existing research on banking in China highlights the dual role of banks as both financial service providers and instruments of state policy. Studies by Li et al. (2019) emphasize the dominance of state-owned enterprises (SOEs) in China's banking sector, while Zhang (2021) notes the growing influence of private and foreign banks in Beijing. However, there is a gap in literature addressing how bankers specifically navigate Beijing’s unique regulatory environment and its implications for financial innovation. This thesis fills that void by focusing on the practical experiences of bankers operating in this high-stakes environment.</w:t>
      </w:r>
    </w:p>
    <w:bookmarkEnd w:id="22"/>
    <w:bookmarkStart w:id="23" w:name="methodology"/>
    <w:p>
      <w:pPr>
        <w:pStyle w:val="Heading2"/>
      </w:pPr>
      <w:r>
        <w:t xml:space="preserve">Methodology</w:t>
      </w:r>
    </w:p>
    <w:p>
      <w:pPr>
        <w:pStyle w:val="FirstParagraph"/>
      </w:pPr>
      <w:r>
        <w:t xml:space="preserve">The Master Thesis employs a qualitative research approach, combining case studies, interviews with banking professionals in Beijing, and analysis of regulatory documents from the China Banking and Insurance Regulatory Commission (CBIRC). The methodology ensures a comprehensive understanding of how bankers in Beijing balance compliance with global standards (e.g., Basel III) while adhering to local policies. Data collection spans 12 months, including visits to financial districts such as the Financial Street in Xicheng District and discussions with experts from both domestic and international banks.</w:t>
      </w:r>
    </w:p>
    <w:bookmarkEnd w:id="23"/>
    <w:bookmarkStart w:id="24" w:name="X4fe4c0df904b09da9f78ad468fc77ba81e6547e"/>
    <w:p>
      <w:pPr>
        <w:pStyle w:val="Heading2"/>
      </w:pPr>
      <w:r>
        <w:t xml:space="preserve">Case Study: Bankers in Beijing’s Financial Sector</w:t>
      </w:r>
    </w:p>
    <w:p>
      <w:pPr>
        <w:pStyle w:val="FirstParagraph"/>
      </w:pPr>
      <w:r>
        <w:t xml:space="preserve">Beijing's financial sector is characterized by a blend of traditional banking practices and cutting-edge fintech solutions. For instance, ICBC’s Beijing branch has pioneered blockchain-based trade finance platforms to support China’s Belt and Road Initiative (BRI). Bankers here are tasked with managing cross-border transactions while ensuring adherence to anti-money laundering (AML) regulations enforced by the People's Bank of China. This case study illustrates how bankers in Beijing must act as both innovators and regulators, balancing profit motives with national priorities.</w:t>
      </w:r>
    </w:p>
    <w:bookmarkEnd w:id="24"/>
    <w:bookmarkStart w:id="25" w:name="regulatory-environment-in-china-beijing"/>
    <w:p>
      <w:pPr>
        <w:pStyle w:val="Heading2"/>
      </w:pPr>
      <w:r>
        <w:t xml:space="preserve">Regulatory Environment in China Beijing</w:t>
      </w:r>
    </w:p>
    <w:p>
      <w:pPr>
        <w:pStyle w:val="FirstParagraph"/>
      </w:pPr>
      <w:r>
        <w:t xml:space="preserve">The regulatory framework for bankers in Beijing is shaped by a combination of central government policies and local municipal regulations. The CBIRC mandates stringent capital adequacy ratios, stress tests, and consumer protection measures. Additionally, Beijing’s role as the seat of the Chinese Communist Party (CCP) means that bankers often operate under heightened scrutiny to ensure alignment with national economic strategies such as "Dual Circulation" and "Made in China 2025." This environment demands that bankers possess not only technical expertise but also political acumen.</w:t>
      </w:r>
    </w:p>
    <w:bookmarkEnd w:id="25"/>
    <w:bookmarkStart w:id="26" w:name="challenges-faced-by-bankers-in-beijing"/>
    <w:p>
      <w:pPr>
        <w:pStyle w:val="Heading2"/>
      </w:pPr>
      <w:r>
        <w:t xml:space="preserve">Challenges Faced by Bankers in Beijing</w:t>
      </w:r>
    </w:p>
    <w:p>
      <w:pPr>
        <w:pStyle w:val="FirstParagraph"/>
      </w:pPr>
      <w:r>
        <w:t xml:space="preserve">Bankers in Beijing confront multifaceted challenges, including:</w:t>
      </w:r>
    </w:p>
    <w:p>
      <w:pPr>
        <w:numPr>
          <w:ilvl w:val="0"/>
          <w:numId w:val="1001"/>
        </w:numPr>
        <w:pStyle w:val="Compact"/>
      </w:pPr>
      <w:r>
        <w:rPr>
          <w:bCs/>
          <w:b/>
        </w:rPr>
        <w:t xml:space="preserve">Regulatory Complexity:</w:t>
      </w:r>
      <w:r>
        <w:t xml:space="preserve"> </w:t>
      </w:r>
      <w:r>
        <w:t xml:space="preserve">Navigating overlapping rules from CBIRC, the State Administration for Market Regulation (SAMR), and local authorities.</w:t>
      </w:r>
    </w:p>
    <w:p>
      <w:pPr>
        <w:numPr>
          <w:ilvl w:val="0"/>
          <w:numId w:val="1001"/>
        </w:numPr>
        <w:pStyle w:val="Compact"/>
      </w:pPr>
      <w:r>
        <w:rPr>
          <w:bCs/>
          <w:b/>
        </w:rPr>
        <w:t xml:space="preserve">Tech Disruption:</w:t>
      </w:r>
      <w:r>
        <w:t xml:space="preserve"> </w:t>
      </w:r>
      <w:r>
        <w:t xml:space="preserve">Competing with fintech firms like Ant Group and Tencent in offering digital banking services.</w:t>
      </w:r>
    </w:p>
    <w:p>
      <w:pPr>
        <w:numPr>
          <w:ilvl w:val="0"/>
          <w:numId w:val="1001"/>
        </w:numPr>
        <w:pStyle w:val="Compact"/>
      </w:pPr>
      <w:r>
        <w:rPr>
          <w:bCs/>
          <w:b/>
        </w:rPr>
        <w:t xml:space="preserve">Cross-Border Risk Management:</w:t>
      </w:r>
      <w:r>
        <w:t xml:space="preserve"> </w:t>
      </w:r>
      <w:r>
        <w:t xml:space="preserve">Managing geopolitical tensions, such as U.S.-China trade disputes, that affect international lending and investment.</w:t>
      </w:r>
    </w:p>
    <w:bookmarkEnd w:id="26"/>
    <w:bookmarkStart w:id="27" w:name="opportunities-for-bankers-in-beijing"/>
    <w:p>
      <w:pPr>
        <w:pStyle w:val="Heading2"/>
      </w:pPr>
      <w:r>
        <w:t xml:space="preserve">Opportunities for Bankers in Beijing</w:t>
      </w:r>
    </w:p>
    <w:p>
      <w:pPr>
        <w:pStyle w:val="FirstParagraph"/>
      </w:pPr>
      <w:r>
        <w:t xml:space="preserve">Despite challenges, Beijing presents unparalleled opportunities for bankers. These include:</w:t>
      </w:r>
    </w:p>
    <w:p>
      <w:pPr>
        <w:numPr>
          <w:ilvl w:val="0"/>
          <w:numId w:val="1002"/>
        </w:numPr>
        <w:pStyle w:val="Compact"/>
      </w:pPr>
      <w:r>
        <w:rPr>
          <w:bCs/>
          <w:b/>
        </w:rPr>
        <w:t xml:space="preserve">Fintech Integration:</w:t>
      </w:r>
      <w:r>
        <w:t xml:space="preserve"> </w:t>
      </w:r>
      <w:r>
        <w:t xml:space="preserve">Partnerships with tech giants to develop AI-driven credit scoring and robo-advisors.</w:t>
      </w:r>
    </w:p>
    <w:p>
      <w:pPr>
        <w:numPr>
          <w:ilvl w:val="0"/>
          <w:numId w:val="1002"/>
        </w:numPr>
        <w:pStyle w:val="Compact"/>
      </w:pPr>
      <w:r>
        <w:rPr>
          <w:bCs/>
          <w:b/>
        </w:rPr>
        <w:t xml:space="preserve">Belt and Road Initiative (BRI):</w:t>
      </w:r>
      <w:r>
        <w:t xml:space="preserve"> </w:t>
      </w:r>
      <w:r>
        <w:t xml:space="preserve">Facilitating infrastructure financing for projects in Southeast Asia, Africa, and Europe.</w:t>
      </w:r>
    </w:p>
    <w:p>
      <w:pPr>
        <w:numPr>
          <w:ilvl w:val="0"/>
          <w:numId w:val="1002"/>
        </w:numPr>
        <w:pStyle w:val="Compact"/>
      </w:pPr>
      <w:r>
        <w:rPr>
          <w:bCs/>
          <w:b/>
        </w:rPr>
        <w:t xml:space="preserve">Sustainable Finance:</w:t>
      </w:r>
      <w:r>
        <w:t xml:space="preserve"> </w:t>
      </w:r>
      <w:r>
        <w:t xml:space="preserve">Aligning with China’s carbon neutrality goals by offering green bonds and ESG-compliant investment products.</w:t>
      </w:r>
    </w:p>
    <w:bookmarkEnd w:id="27"/>
    <w:bookmarkStart w:id="28" w:name="conclusion"/>
    <w:p>
      <w:pPr>
        <w:pStyle w:val="Heading2"/>
      </w:pPr>
      <w:r>
        <w:t xml:space="preserve">Conclusion</w:t>
      </w:r>
    </w:p>
    <w:p>
      <w:pPr>
        <w:pStyle w:val="FirstParagraph"/>
      </w:pPr>
      <w:r>
        <w:t xml:space="preserve">This Master Thesis underscores the critical role of the banker in China Beijing as a linchpin of economic growth, regulatory compliance, and technological innovation. The study reveals that bankers in this region must operate within a complex interplay of state policies, global financial trends, and local market dynamics. As Beijing continues to evolve into a global financial powerhouse, the insights gained from this research will be invaluable for shaping future banking strategies in China and beyond.</w:t>
      </w:r>
    </w:p>
    <w:bookmarkEnd w:id="28"/>
    <w:bookmarkStart w:id="29" w:name="references"/>
    <w:p>
      <w:pPr>
        <w:pStyle w:val="Heading2"/>
      </w:pPr>
      <w:r>
        <w:t xml:space="preserve">References</w:t>
      </w:r>
    </w:p>
    <w:p>
      <w:pPr>
        <w:pStyle w:val="FirstParagraph"/>
      </w:pPr>
      <w:r>
        <w:rPr>
          <w:iCs/>
          <w:i/>
        </w:rPr>
        <w:t xml:space="preserve">Li, X., Chen, Y., &amp; Wang, Z. (2019). "State-Owned Banks in China: Challenges and Opportunities."</w:t>
      </w:r>
      <w:r>
        <w:t xml:space="preserve"> </w:t>
      </w:r>
      <w:r>
        <w:t xml:space="preserve">Journal of Asian Banking Studies.</w:t>
      </w:r>
      <w:r>
        <w:br/>
      </w:r>
      <w:r>
        <w:rPr>
          <w:iCs/>
          <w:i/>
        </w:rPr>
        <w:t xml:space="preserve">Zhang, L. (2021). "The Rise of Private Banking in Beijing."</w:t>
      </w:r>
      <w:r>
        <w:t xml:space="preserve"> </w:t>
      </w:r>
      <w:r>
        <w:t xml:space="preserve">China Financial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China Beijing</dc:title>
  <dc:creator/>
  <dc:language>en</dc:language>
  <cp:keywords/>
  <dcterms:created xsi:type="dcterms:W3CDTF">2026-07-20T18:05:05Z</dcterms:created>
  <dcterms:modified xsi:type="dcterms:W3CDTF">2026-07-20T18:05:05Z</dcterms:modified>
</cp:coreProperties>
</file>

<file path=docProps/custom.xml><?xml version="1.0" encoding="utf-8"?>
<Properties xmlns="http://schemas.openxmlformats.org/officeDocument/2006/custom-properties" xmlns:vt="http://schemas.openxmlformats.org/officeDocument/2006/docPropsVTypes"/>
</file>