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63b4521893b365ad1c5c7b2091361c82bc87d01"/>
    <w:p>
      <w:pPr>
        <w:pStyle w:val="Heading1"/>
      </w:pPr>
      <w:r>
        <w:t xml:space="preserve">Master Thesis: The Role and Evolution of Bankers in the Financial Landscape of China Guangzhou</w:t>
      </w:r>
    </w:p>
    <w:bookmarkStart w:id="20" w:name="abstract"/>
    <w:p>
      <w:pPr>
        <w:pStyle w:val="Heading2"/>
      </w:pPr>
      <w:r>
        <w:t xml:space="preserve">Abstract</w:t>
      </w:r>
    </w:p>
    <w:p>
      <w:pPr>
        <w:pStyle w:val="FirstParagraph"/>
      </w:pPr>
      <w:r>
        <w:t xml:space="preserve">This Master Thesis explores the critical role of bankers in shaping the financial ecosystem of China Guangzhou, a vibrant economic hub in southern China. By analyzing historical developments, regulatory frameworks, and contemporary challenges faced by bankers in Guangzhou, this study highlights their significance as pivotal players in driving economic growth and fostering international trade. The thesis also examines how the unique socio-economic dynamics of Guangzhou influence the responsibilities and strategies of modern bankers.</w:t>
      </w:r>
    </w:p>
    <w:bookmarkEnd w:id="20"/>
    <w:bookmarkStart w:id="21" w:name="introduction"/>
    <w:p>
      <w:pPr>
        <w:pStyle w:val="Heading2"/>
      </w:pPr>
      <w:r>
        <w:t xml:space="preserve">Introduction</w:t>
      </w:r>
    </w:p>
    <w:p>
      <w:pPr>
        <w:pStyle w:val="FirstParagraph"/>
      </w:pPr>
      <w:r>
        <w:t xml:space="preserve">China Guangzhou, as a major metropolitan center in the Pearl River Delta region, has emerged as a key player in China’s financial sector. The city’s strategic location and status as an international trade gateway have made it a focal point for banking innovation and regulatory evolution. This Master Thesis investigates how bankers in Guangzhou navigate the complexities of China’s financial system while addressing local market demands and global economic trends.</w:t>
      </w:r>
    </w:p>
    <w:p>
      <w:pPr>
        <w:pStyle w:val="BodyText"/>
      </w:pPr>
      <w:r>
        <w:t xml:space="preserve">The study underscores the importance of understanding the interplay between bankers, their institutional roles, and Guangzhou’s dynamic economy. By focusing on this nexus, the thesis contributes to broader academic discourse on financial services in emerging markets.</w:t>
      </w:r>
    </w:p>
    <w:bookmarkEnd w:id="21"/>
    <w:bookmarkStart w:id="22" w:name="literature-review"/>
    <w:p>
      <w:pPr>
        <w:pStyle w:val="Heading2"/>
      </w:pPr>
      <w:r>
        <w:t xml:space="preserve">Literature Review</w:t>
      </w:r>
    </w:p>
    <w:p>
      <w:pPr>
        <w:pStyle w:val="FirstParagraph"/>
      </w:pPr>
      <w:r>
        <w:t xml:space="preserve">Existing research on bankers in China often emphasizes their role as intermediaries in capital allocation and risk management. However, studies specific to Guangzhou are limited. This Master Thesis fills this gap by contextualizing the experiences of Guangzhou-based bankers within the broader framework of China’s financial liberalization policies.</w:t>
      </w:r>
    </w:p>
    <w:p>
      <w:pPr>
        <w:pStyle w:val="BodyText"/>
      </w:pPr>
      <w:r>
        <w:t xml:space="preserve">Key themes from prior literature include the impact of regulatory reforms, such as Basel III compliance and state-owned bank restructuring, on banker operations. Additionally, scholars have noted how urban centers like Guangzhou serve as testbeds for fintech innovations that challenge traditional banking models.</w:t>
      </w:r>
    </w:p>
    <w:bookmarkEnd w:id="22"/>
    <w:bookmarkStart w:id="23" w:name="methodology"/>
    <w:p>
      <w:pPr>
        <w:pStyle w:val="Heading2"/>
      </w:pPr>
      <w:r>
        <w:t xml:space="preserve">Methodology</w:t>
      </w:r>
    </w:p>
    <w:p>
      <w:pPr>
        <w:pStyle w:val="FirstParagraph"/>
      </w:pPr>
      <w:r>
        <w:t xml:space="preserve">To achieve the research objectives of this Master Thesis, a mixed-methods approach was adopted. Primary data was collected through semi-structured interviews with bankers in Guangzhou’s financial district, while secondary data included analysis of annual reports from local and international banks operating in the region.</w:t>
      </w:r>
    </w:p>
    <w:p>
      <w:pPr>
        <w:pStyle w:val="BodyText"/>
      </w:pPr>
      <w:r>
        <w:t xml:space="preserve">Qualitative insights were supplemented by quantitative metrics such as loan disbursement rates, digital banking adoption statistics, and trade financing volumes. These methods enabled a comprehensive examination of how bankers in Guangzhou balance regulatory compliance with market competitiveness.</w:t>
      </w:r>
    </w:p>
    <w:bookmarkEnd w:id="23"/>
    <w:bookmarkStart w:id="24" w:name="findings"/>
    <w:p>
      <w:pPr>
        <w:pStyle w:val="Heading2"/>
      </w:pPr>
      <w:r>
        <w:t xml:space="preserve">Findings</w:t>
      </w:r>
    </w:p>
    <w:p>
      <w:pPr>
        <w:pStyle w:val="FirstParagraph"/>
      </w:pPr>
      <w:r>
        <w:t xml:space="preserve">The research reveals that bankers in Guangzhou are uniquely positioned to leverage the city’s role as a cross-border trade hub. For instance, they play a crucial role in facilitating transactions between Chinese manufacturers and foreign importers, often tailoring financial products to mitigate currency risks.</w:t>
      </w:r>
    </w:p>
    <w:p>
      <w:pPr>
        <w:pStyle w:val="BodyText"/>
      </w:pPr>
      <w:r>
        <w:t xml:space="preserve">Another significant finding is the growing influence of fintech on banking practices in Guangzhou. Bankers reported increased adoption of blockchain-based supply chain financing and AI-driven credit assessment tools, which align with China’s national push for digital innovation.</w:t>
      </w:r>
    </w:p>
    <w:bookmarkEnd w:id="24"/>
    <w:bookmarkStart w:id="25" w:name="discussion"/>
    <w:p>
      <w:pPr>
        <w:pStyle w:val="Heading2"/>
      </w:pPr>
      <w:r>
        <w:t xml:space="preserve">Discussion</w:t>
      </w:r>
    </w:p>
    <w:p>
      <w:pPr>
        <w:pStyle w:val="FirstParagraph"/>
      </w:pPr>
      <w:r>
        <w:t xml:space="preserve">The findings of this Master Thesis highlight both opportunities and challenges for bankers in Guangzhou. On the one hand, the city’s economic dynamism presents lucrative prospects for niche financial services. On the other hand, intensifying competition from private banks and fintech firms requires continuous adaptation.</w:t>
      </w:r>
    </w:p>
    <w:p>
      <w:pPr>
        <w:pStyle w:val="BodyText"/>
      </w:pPr>
      <w:r>
        <w:t xml:space="preserve">Furthermore, regulatory changes such as China’s emphasis on “common prosperity” have compelled bankers to reassess their lending practices. This aligns with the broader goal of ensuring equitable access to financial resources in Guangzhou’s rapidly expanding economy.</w:t>
      </w:r>
    </w:p>
    <w:bookmarkEnd w:id="25"/>
    <w:bookmarkStart w:id="26" w:name="conclusion"/>
    <w:p>
      <w:pPr>
        <w:pStyle w:val="Heading2"/>
      </w:pPr>
      <w:r>
        <w:t xml:space="preserve">Conclusion</w:t>
      </w:r>
    </w:p>
    <w:p>
      <w:pPr>
        <w:pStyle w:val="FirstParagraph"/>
      </w:pPr>
      <w:r>
        <w:t xml:space="preserve">In conclusion, this Master Thesis underscores the indispensable role of bankers in China Guangzhou as architects of its financial future. Their ability to innovate within a regulated environment while addressing the specific needs of Guangzhou’s diverse stakeholders will be pivotal in sustaining the city’s economic prominence.</w:t>
      </w:r>
    </w:p>
    <w:p>
      <w:pPr>
        <w:pStyle w:val="BodyText"/>
      </w:pPr>
      <w:r>
        <w:t xml:space="preserve">Future research could explore how global events, such as geopolitical tensions or technological disruptions, further shape the trajectory of banking in Guangzhou. This study serves as a foundation for deeper investigations into financial services in China’s urban centers.</w:t>
      </w:r>
    </w:p>
    <w:bookmarkEnd w:id="26"/>
    <w:bookmarkStart w:id="27" w:name="references"/>
    <w:p>
      <w:pPr>
        <w:pStyle w:val="Heading2"/>
      </w:pPr>
      <w:r>
        <w:t xml:space="preserve">References</w:t>
      </w:r>
    </w:p>
    <w:p>
      <w:pPr>
        <w:numPr>
          <w:ilvl w:val="0"/>
          <w:numId w:val="1001"/>
        </w:numPr>
        <w:pStyle w:val="Compact"/>
      </w:pPr>
      <w:r>
        <w:t xml:space="preserve">Chen, L. (2021). "Fintech and the Future of Banking in China." Journal of Financial Innovation.</w:t>
      </w:r>
    </w:p>
    <w:p>
      <w:pPr>
        <w:numPr>
          <w:ilvl w:val="0"/>
          <w:numId w:val="1001"/>
        </w:numPr>
        <w:pStyle w:val="Compact"/>
      </w:pPr>
      <w:r>
        <w:t xml:space="preserve">Guangzhou Financial Supervision Bureau. (2023). "Annual Report on Guangzhou’s Banking Sector."</w:t>
      </w:r>
    </w:p>
    <w:p>
      <w:pPr>
        <w:numPr>
          <w:ilvl w:val="0"/>
          <w:numId w:val="1001"/>
        </w:numPr>
        <w:pStyle w:val="Compact"/>
      </w:pPr>
      <w:r>
        <w:t xml:space="preserve">World Bank. (2022). "China’s Economic Transformation: A Focus on Southern Regions."</w:t>
      </w:r>
    </w:p>
    <w:bookmarkEnd w:id="27"/>
    <w:p>
      <w:pPr>
        <w:pStyle w:val="FirstParagraph"/>
      </w:pPr>
      <w:r>
        <w:rPr>
          <w:bCs/>
          <w:b/>
        </w:rPr>
        <w:t xml:space="preserve">Keywords:</w:t>
      </w:r>
      <w:r>
        <w:t xml:space="preserve"> </w:t>
      </w:r>
      <w:r>
        <w:t xml:space="preserve">Master Thesis, Banker, China Guangzhou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China Guangzhou</dc:title>
  <dc:creator/>
  <dc:language>en</dc:language>
  <cp:keywords/>
  <dcterms:created xsi:type="dcterms:W3CDTF">2026-07-23T02:22:50Z</dcterms:created>
  <dcterms:modified xsi:type="dcterms:W3CDTF">2026-07-23T02:22:50Z</dcterms:modified>
</cp:coreProperties>
</file>

<file path=docProps/custom.xml><?xml version="1.0" encoding="utf-8"?>
<Properties xmlns="http://schemas.openxmlformats.org/officeDocument/2006/custom-properties" xmlns:vt="http://schemas.openxmlformats.org/officeDocument/2006/docPropsVTypes"/>
</file>