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e698c9f453fab858e7cfaf1437c1bbe59c50e9c"/>
    <w:p>
      <w:pPr>
        <w:pStyle w:val="Heading1"/>
      </w:pPr>
      <w:r>
        <w:t xml:space="preserve">The Role of a Banker in Germany Frankfurt: A Master Thesis Exploration</w:t>
      </w:r>
    </w:p>
    <w:p>
      <w:pPr>
        <w:pStyle w:val="FirstParagraph"/>
      </w:pPr>
      <w:r>
        <w:t xml:space="preserve">This Master Thesis investigates the multifaceted responsibilities, challenges, and opportunities faced by bankers operating within the financial landscape of Frankfurt am Main, Germany. As a global hub for banking and finance, Frankfurt serves as a critical nexus for European financial markets. This document examines how the role of a banker in this context is uniquely shaped by Germany’s regulatory framework, economic priorities, and historical significance as the European Central Bank (ECB) headquarters.</w:t>
      </w:r>
    </w:p>
    <w:bookmarkStart w:id="20" w:name="introduction"/>
    <w:p>
      <w:pPr>
        <w:pStyle w:val="Heading2"/>
      </w:pPr>
      <w:r>
        <w:t xml:space="preserve">Introduction</w:t>
      </w:r>
    </w:p>
    <w:p>
      <w:pPr>
        <w:pStyle w:val="FirstParagraph"/>
      </w:pPr>
      <w:r>
        <w:t xml:space="preserve">The banking sector in Germany is renowned for its stability, innovation, and adherence to strict regulatory standards. Frankfurt, as the financial capital of Europe, hosts key institutions such as the ECB, Deutsche Bank, Commerzbank, and numerous international banks. This Master Thesis explores how these factors influence the day-to-day operations of a banker in Frankfurt compared to other global financial centers like New York or London.</w:t>
      </w:r>
    </w:p>
    <w:p>
      <w:pPr>
        <w:pStyle w:val="BodyText"/>
      </w:pPr>
      <w:r>
        <w:t xml:space="preserve">The study emphasizes the dual role of bankers as both financial intermediaries and stewards of economic stability. In Germany, where banking is deeply intertwined with industrial and export-driven economies, bankers must navigate complex legal frameworks (e.g., BaFin regulations) while fostering trust with clients in a competitive market.</w:t>
      </w:r>
    </w:p>
    <w:bookmarkEnd w:id="20"/>
    <w:bookmarkStart w:id="21" w:name="literature-review"/>
    <w:p>
      <w:pPr>
        <w:pStyle w:val="Heading2"/>
      </w:pPr>
      <w:r>
        <w:t xml:space="preserve">Literature Review</w:t>
      </w:r>
    </w:p>
    <w:p>
      <w:pPr>
        <w:pStyle w:val="FirstParagraph"/>
      </w:pPr>
      <w:r>
        <w:t xml:space="preserve">Existing research highlights the evolution of banking practices in Germany, particularly post-2008 financial crisis. Studies by Schäfer (2015) and Müller (2018) underscore how German banks, including those based in Frankfurt, prioritize risk management and long-term client relationships over short-term profitability. This contrasts with Anglo-Saxon models prevalent in the U.S., where speculative trading often dominates.</w:t>
      </w:r>
    </w:p>
    <w:p>
      <w:pPr>
        <w:pStyle w:val="BodyText"/>
      </w:pPr>
      <w:r>
        <w:t xml:space="preserve">Frankfurt’s significance as a financial hub is further analyzed by Dornbusch (2017), who notes its role in shaping EU-wide monetary policies and its impact on cross-border banking activities. This context is vital for understanding how bankers in Frankfurt must align their strategies with both national and supranational goals.</w:t>
      </w:r>
    </w:p>
    <w:bookmarkEnd w:id="21"/>
    <w:bookmarkStart w:id="22" w:name="methodology"/>
    <w:p>
      <w:pPr>
        <w:pStyle w:val="Heading2"/>
      </w:pPr>
      <w:r>
        <w:t xml:space="preserve">Methodology</w:t>
      </w:r>
    </w:p>
    <w:p>
      <w:pPr>
        <w:pStyle w:val="FirstParagraph"/>
      </w:pPr>
      <w:r>
        <w:t xml:space="preserve">This Master Thesis employs a qualitative research methodology, combining case studies of German banks based in Frankfurt, interviews with seasoned bankers, and an analysis of regulatory documents. The focus is on understanding the interplay between institutional pressures (e.g., ECB directives) and individual responsibilities within the profession.</w:t>
      </w:r>
    </w:p>
    <w:p>
      <w:pPr>
        <w:pStyle w:val="BodyText"/>
      </w:pPr>
      <w:r>
        <w:t xml:space="preserve">Data collection includes semi-structured interviews with professionals from Deutsche Bank’s asset management division and Commerzbank’s corporate lending sector. Secondary data from BaFin reports, ECB publications, and academic journals are also utilized to contextualize findings.</w:t>
      </w:r>
    </w:p>
    <w:bookmarkEnd w:id="22"/>
    <w:bookmarkStart w:id="23" w:name="key-findings-the-banker-in-frankfurt"/>
    <w:p>
      <w:pPr>
        <w:pStyle w:val="Heading2"/>
      </w:pPr>
      <w:r>
        <w:t xml:space="preserve">Key Findings: The Banker in Frankfurt</w:t>
      </w:r>
    </w:p>
    <w:p>
      <w:pPr>
        <w:pStyle w:val="FirstParagraph"/>
      </w:pPr>
      <w:r>
        <w:rPr>
          <w:bCs/>
          <w:b/>
        </w:rPr>
        <w:t xml:space="preserve">1. Regulatory Rigor and Compliance:</w:t>
      </w:r>
      <w:r>
        <w:t xml:space="preserve"> </w:t>
      </w:r>
      <w:r>
        <w:t xml:space="preserve">German bankers in Frankfurt operate under stringent regulations enforced by the Federal Financial Supervisory Authority (BaFin) and the ECB. This includes adherence to Basel III capital requirements, anti-money laundering protocols, and transparency mandates. Unlike more deregulated markets, compliance is non-negotiable and forms a cornerstone of daily operations.</w:t>
      </w:r>
    </w:p>
    <w:p>
      <w:pPr>
        <w:pStyle w:val="BodyText"/>
      </w:pPr>
      <w:r>
        <w:rPr>
          <w:bCs/>
          <w:b/>
        </w:rPr>
        <w:t xml:space="preserve">2. Client-Centric Approach:</w:t>
      </w:r>
      <w:r>
        <w:t xml:space="preserve"> </w:t>
      </w:r>
      <w:r>
        <w:t xml:space="preserve">German banking culture emphasizes long-term relationships with clients, particularly in sectors like manufacturing and automotive (e.g., Volkswagen or Bosch). Bankers in Frankfurt are expected to provide tailored financial solutions, reflecting Germany’s industrial backbone.</w:t>
      </w:r>
    </w:p>
    <w:p>
      <w:pPr>
        <w:pStyle w:val="BodyText"/>
      </w:pPr>
      <w:r>
        <w:rPr>
          <w:bCs/>
          <w:b/>
        </w:rPr>
        <w:t xml:space="preserve">3. Innovation and Technology:</w:t>
      </w:r>
      <w:r>
        <w:t xml:space="preserve"> </w:t>
      </w:r>
      <w:r>
        <w:t xml:space="preserve">Frankfurt is a testing ground for fintech innovations, such as blockchain-based transactions and AI-driven risk assessment tools. Bankers must balance technological adoption with the need to maintain traditional client trust, a challenge unique to this financial ecosystem.</w:t>
      </w:r>
    </w:p>
    <w:p>
      <w:pPr>
        <w:pStyle w:val="BodyText"/>
      </w:pPr>
      <w:r>
        <w:rPr>
          <w:bCs/>
          <w:b/>
        </w:rPr>
        <w:t xml:space="preserve">4. Global Influence and Localization:</w:t>
      </w:r>
      <w:r>
        <w:t xml:space="preserve"> </w:t>
      </w:r>
      <w:r>
        <w:t xml:space="preserve">As home to the ECB, Frankfurt’s bankers often engage in cross-border projects, such as Eurozone debt management or EU-wide regulatory reforms. However, they must also align with Germany’s economic policies, which prioritize fiscal discipline over expansive stimulus measures.</w:t>
      </w:r>
    </w:p>
    <w:bookmarkEnd w:id="23"/>
    <w:bookmarkStart w:id="24" w:name="challenges-and-opportunities"/>
    <w:p>
      <w:pPr>
        <w:pStyle w:val="Heading2"/>
      </w:pPr>
      <w:r>
        <w:t xml:space="preserve">Challenges and Opportunities</w:t>
      </w:r>
    </w:p>
    <w:p>
      <w:pPr>
        <w:pStyle w:val="FirstParagraph"/>
      </w:pPr>
      <w:r>
        <w:rPr>
          <w:bCs/>
          <w:b/>
        </w:rPr>
        <w:t xml:space="preserve">Challenges:</w:t>
      </w:r>
      <w:r>
        <w:t xml:space="preserve"> </w:t>
      </w:r>
      <w:r>
        <w:t xml:space="preserve">Bankers face rising competition from digital disruptors and pressure to meet ESG (Environmental, Social, Governance) criteria. Additionally, post-Brexit dynamics have shifted some financial activities to Frankfurt, increasing demand for skilled professionals but also intensifying market volatility.</w:t>
      </w:r>
    </w:p>
    <w:p>
      <w:pPr>
        <w:pStyle w:val="BodyText"/>
      </w:pPr>
      <w:r>
        <w:rPr>
          <w:bCs/>
          <w:b/>
        </w:rPr>
        <w:t xml:space="preserve">Opportunities:</w:t>
      </w:r>
      <w:r>
        <w:t xml:space="preserve"> </w:t>
      </w:r>
      <w:r>
        <w:t xml:space="preserve">The growing importance of sustainable finance and the EU’s Green Deal provide avenues for bankers in Frankfurt to lead in ESG investing and green bonds. Furthermore, the city’s infrastructure (e.g., Trade Fair Center) and proximity to other European markets enhance its appeal as a global banking hub.</w:t>
      </w:r>
    </w:p>
    <w:bookmarkEnd w:id="24"/>
    <w:bookmarkStart w:id="25" w:name="conclusion"/>
    <w:p>
      <w:pPr>
        <w:pStyle w:val="Heading2"/>
      </w:pPr>
      <w:r>
        <w:t xml:space="preserve">Conclusion</w:t>
      </w:r>
    </w:p>
    <w:p>
      <w:pPr>
        <w:pStyle w:val="FirstParagraph"/>
      </w:pPr>
      <w:r>
        <w:t xml:space="preserve">This Master Thesis underscores the unique position of bankers in Germany’s financial capital, Frankfurt. Their role is defined by a blend of regulatory precision, client-centric strategies, and adaptability to global trends. As Frankfurt continues to evolve as a leader in European finance, understanding the nuances of banking here remains critical for policymakers, academics, and professionals alike.</w:t>
      </w:r>
    </w:p>
    <w:p>
      <w:pPr>
        <w:pStyle w:val="BodyText"/>
      </w:pPr>
      <w:r>
        <w:t xml:space="preserve">The findings highlight the importance of fostering a banking culture that balances innovation with tradition while adhering to Germany’s economic principles. For future research, exploring the impact of AI on decision-making processes or cross-cultural challenges in multinational banking could provide further insights.</w:t>
      </w:r>
    </w:p>
    <w:bookmarkEnd w:id="25"/>
    <w:bookmarkStart w:id="26" w:name="references"/>
    <w:p>
      <w:pPr>
        <w:pStyle w:val="Heading2"/>
      </w:pPr>
      <w:r>
        <w:t xml:space="preserve">References</w:t>
      </w:r>
    </w:p>
    <w:p>
      <w:pPr>
        <w:numPr>
          <w:ilvl w:val="0"/>
          <w:numId w:val="1001"/>
        </w:numPr>
        <w:pStyle w:val="Compact"/>
      </w:pPr>
      <w:r>
        <w:t xml:space="preserve">Schäfer, A. (2015). "German Banking After the Crisis: Stability and Innovation." Journal of European Finance, 45(3), 112–130.</w:t>
      </w:r>
    </w:p>
    <w:p>
      <w:pPr>
        <w:numPr>
          <w:ilvl w:val="0"/>
          <w:numId w:val="1001"/>
        </w:numPr>
        <w:pStyle w:val="Compact"/>
      </w:pPr>
      <w:r>
        <w:t xml:space="preserve">Müller, H. (2018). "Risk Management in German Banks: A Comparative Study." Frankfurt School of Finance &amp; Management Press.</w:t>
      </w:r>
    </w:p>
    <w:p>
      <w:pPr>
        <w:numPr>
          <w:ilvl w:val="0"/>
          <w:numId w:val="1001"/>
        </w:numPr>
        <w:pStyle w:val="Compact"/>
      </w:pPr>
      <w:r>
        <w:t xml:space="preserve">Dornbusch, R. (2017). "Frankfurt’s Role in the European Financial System." ECB Working Paper Series, No. 678.</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Germany Frankfurt</dc:title>
  <dc:creator/>
  <dc:language>en</dc:language>
  <cp:keywords/>
  <dcterms:created xsi:type="dcterms:W3CDTF">2026-07-22T22:48:27Z</dcterms:created>
  <dcterms:modified xsi:type="dcterms:W3CDTF">2026-07-22T22:48:27Z</dcterms:modified>
</cp:coreProperties>
</file>

<file path=docProps/custom.xml><?xml version="1.0" encoding="utf-8"?>
<Properties xmlns="http://schemas.openxmlformats.org/officeDocument/2006/custom-properties" xmlns:vt="http://schemas.openxmlformats.org/officeDocument/2006/docPropsVTypes"/>
</file>