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4ef9bd3b40b7c81f3f50e65d00e9d539eb2f1fe"/>
    <w:p>
      <w:pPr>
        <w:pStyle w:val="Heading1"/>
      </w:pPr>
      <w:r>
        <w:t xml:space="preserve">Master Thesis: The Role of Banker in the Context of Indonesia Jakarta</w:t>
      </w:r>
    </w:p>
    <w:p>
      <w:pPr>
        <w:pStyle w:val="FirstParagraph"/>
      </w:pPr>
      <w:r>
        <w:t xml:space="preserve">This Master Thesis explores the multifaceted role and responsibilities of a</w:t>
      </w:r>
      <w:r>
        <w:t xml:space="preserve"> </w:t>
      </w:r>
      <w:r>
        <w:rPr>
          <w:bCs/>
          <w:b/>
        </w:rPr>
        <w:t xml:space="preserve">Banker</w:t>
      </w:r>
      <w:r>
        <w:t xml:space="preserve"> </w:t>
      </w:r>
      <w:r>
        <w:t xml:space="preserve">operating within the dynamic financial landscape of</w:t>
      </w:r>
      <w:r>
        <w:t xml:space="preserve"> </w:t>
      </w:r>
      <w:r>
        <w:rPr>
          <w:bCs/>
          <w:b/>
        </w:rPr>
        <w:t xml:space="preserve">Indonesia Jakarta</w:t>
      </w:r>
      <w:r>
        <w:t xml:space="preserve">. As the capital city of Indonesia, Jakarta serves as a critical hub for economic activity, regulatory oversight, and technological innovation. The study delves into how</w:t>
      </w:r>
      <w:r>
        <w:t xml:space="preserve"> </w:t>
      </w:r>
      <w:r>
        <w:rPr>
          <w:iCs/>
          <w:i/>
        </w:rPr>
        <w:t xml:space="preserve">Bankers</w:t>
      </w:r>
      <w:r>
        <w:t xml:space="preserve"> </w:t>
      </w:r>
      <w:r>
        <w:t xml:space="preserve">in this region navigate challenges such as rapid urbanization, digital banking adoption, and compliance with local regulations while contributing to national financial stability.</w:t>
      </w:r>
    </w:p>
    <w:bookmarkStart w:id="20" w:name="abstract"/>
    <w:p>
      <w:pPr>
        <w:pStyle w:val="Heading2"/>
      </w:pPr>
      <w:r>
        <w:t xml:space="preserve">Abstract</w:t>
      </w:r>
    </w:p>
    <w:p>
      <w:pPr>
        <w:pStyle w:val="FirstParagraph"/>
      </w:pPr>
      <w:r>
        <w:t xml:space="preserve">The purpose of this research is to analyze the evolving role of a</w:t>
      </w:r>
      <w:r>
        <w:t xml:space="preserve"> </w:t>
      </w:r>
      <w:r>
        <w:rPr>
          <w:bCs/>
          <w:b/>
        </w:rPr>
        <w:t xml:space="preserve">Banker</w:t>
      </w:r>
      <w:r>
        <w:t xml:space="preserve"> </w:t>
      </w:r>
      <w:r>
        <w:t xml:space="preserve">in</w:t>
      </w:r>
      <w:r>
        <w:t xml:space="preserve"> </w:t>
      </w:r>
      <w:r>
        <w:rPr>
          <w:bCs/>
          <w:b/>
        </w:rPr>
        <w:t xml:space="preserve">Indonesia Jakarta</w:t>
      </w:r>
      <w:r>
        <w:t xml:space="preserve">, focusing on their strategic significance in shaping the financial ecosystem. Through a qualitative and quantitative approach, this thesis investigates the unique challenges faced by bankers, including regulatory frameworks under Bank Indonesia (BI), fintech competition, and socio-economic disparities. The study also highlights opportunities for innovation and growth within Jakarta’s banking sector. By integrating case studies of local banks like Bank Mandiri and BCA (Bank Central Asia), this thesis aims to provide actionable insights for policymakers, financial institutions, and future</w:t>
      </w:r>
      <w:r>
        <w:t xml:space="preserve"> </w:t>
      </w:r>
      <w:r>
        <w:rPr>
          <w:bCs/>
          <w:b/>
        </w:rPr>
        <w:t xml:space="preserve">Bankers</w:t>
      </w:r>
      <w:r>
        <w:t xml:space="preserve"> </w:t>
      </w:r>
      <w:r>
        <w:t xml:space="preserve">in the region.</w:t>
      </w:r>
    </w:p>
    <w:bookmarkEnd w:id="20"/>
    <w:bookmarkStart w:id="21" w:name="introduction"/>
    <w:p>
      <w:pPr>
        <w:pStyle w:val="Heading2"/>
      </w:pPr>
      <w:r>
        <w:t xml:space="preserve">Introduction</w:t>
      </w:r>
    </w:p>
    <w:p>
      <w:pPr>
        <w:pStyle w:val="FirstParagraph"/>
      </w:pPr>
      <w:r>
        <w:rPr>
          <w:bCs/>
          <w:b/>
        </w:rPr>
        <w:t xml:space="preserve">Jakarta</w:t>
      </w:r>
      <w:r>
        <w:t xml:space="preserve">, as Indonesia’s economic powerhouse, has long been the focal point of financial services. The city’s population exceeds 10 million, with a rapidly growing middle class and a robust informal economy. For</w:t>
      </w:r>
      <w:r>
        <w:t xml:space="preserve"> </w:t>
      </w:r>
      <w:r>
        <w:rPr>
          <w:iCs/>
          <w:i/>
        </w:rPr>
        <w:t xml:space="preserve">Bankers</w:t>
      </w:r>
      <w:r>
        <w:t xml:space="preserve">, this environment presents both opportunities and complexities. Traditional banking models must now compete with digital platforms like Gojek’s GoPay or Tokopedia’s e-wallets, which are reshaping consumer behavior in Jakarta.</w:t>
      </w:r>
    </w:p>
    <w:p>
      <w:pPr>
        <w:pStyle w:val="BodyText"/>
      </w:pPr>
      <w:r>
        <w:t xml:space="preserve">The thesis begins by defining the role of a</w:t>
      </w:r>
      <w:r>
        <w:t xml:space="preserve"> </w:t>
      </w:r>
      <w:r>
        <w:rPr>
          <w:bCs/>
          <w:b/>
        </w:rPr>
        <w:t xml:space="preserve">Banker</w:t>
      </w:r>
      <w:r>
        <w:t xml:space="preserve"> </w:t>
      </w:r>
      <w:r>
        <w:t xml:space="preserve">as a professional who facilitates financial transactions, manages risk, and ensures compliance with regulatory standards. However, in</w:t>
      </w:r>
      <w:r>
        <w:t xml:space="preserve"> </w:t>
      </w:r>
      <w:r>
        <w:rPr>
          <w:bCs/>
          <w:b/>
        </w:rPr>
        <w:t xml:space="preserve">Jakarta</w:t>
      </w:r>
      <w:r>
        <w:t xml:space="preserve">, this role extends to addressing the needs of diverse clients—ranging from small businesses to multinational corporations—while adapting to localized challenges such as currency fluctuations and political uncertainty.</w:t>
      </w:r>
    </w:p>
    <w:bookmarkEnd w:id="21"/>
    <w:bookmarkStart w:id="22" w:name="methodology"/>
    <w:p>
      <w:pPr>
        <w:pStyle w:val="Heading2"/>
      </w:pPr>
      <w:r>
        <w:t xml:space="preserve">Methodology</w:t>
      </w:r>
    </w:p>
    <w:p>
      <w:pPr>
        <w:pStyle w:val="FirstParagraph"/>
      </w:pPr>
      <w:r>
        <w:t xml:space="preserve">The research employs a mixed-methods approach, combining primary data (interviews with 15</w:t>
      </w:r>
      <w:r>
        <w:t xml:space="preserve"> </w:t>
      </w:r>
      <w:r>
        <w:rPr>
          <w:bCs/>
          <w:b/>
        </w:rPr>
        <w:t xml:space="preserve">Bankers</w:t>
      </w:r>
      <w:r>
        <w:t xml:space="preserve"> </w:t>
      </w:r>
      <w:r>
        <w:t xml:space="preserve">in Jakarta) and secondary data (regulatory reports from Bank Indonesia, academic journals, and industry publications). Fieldwork was conducted across major banks and fintech startups in Central Jakarta. The study also analyzes the impact of policies such as the</w:t>
      </w:r>
      <w:r>
        <w:t xml:space="preserve"> </w:t>
      </w:r>
      <w:r>
        <w:rPr>
          <w:iCs/>
          <w:i/>
        </w:rPr>
        <w:t xml:space="preserve">OJK</w:t>
      </w:r>
      <w:r>
        <w:t xml:space="preserve"> </w:t>
      </w:r>
      <w:r>
        <w:t xml:space="preserve">(Otoritas Jasa Keuangan) guidelines on financial inclusion.</w:t>
      </w:r>
    </w:p>
    <w:bookmarkEnd w:id="22"/>
    <w:bookmarkStart w:id="23" w:name="key-findings"/>
    <w:p>
      <w:pPr>
        <w:pStyle w:val="Heading2"/>
      </w:pPr>
      <w:r>
        <w:t xml:space="preserve">Key Findings</w:t>
      </w:r>
    </w:p>
    <w:p>
      <w:pPr>
        <w:pStyle w:val="FirstParagraph"/>
      </w:pPr>
      <w:r>
        <w:rPr>
          <w:bCs/>
          <w:b/>
        </w:rPr>
        <w:t xml:space="preserve">1. Regulatory Compliance and Risk Management:</w:t>
      </w:r>
      <w:r>
        <w:br/>
      </w:r>
      <w:r>
        <w:t xml:space="preserve">In Jakarta,</w:t>
      </w:r>
      <w:r>
        <w:t xml:space="preserve"> </w:t>
      </w:r>
      <w:r>
        <w:rPr>
          <w:bCs/>
          <w:b/>
        </w:rPr>
        <w:t xml:space="preserve">Bankers</w:t>
      </w:r>
      <w:r>
        <w:t xml:space="preserve"> </w:t>
      </w:r>
      <w:r>
        <w:t xml:space="preserve">must adhere to stringent regulations set by Bank Indonesia and OJK. These include Basel III standards, anti-money laundering (AML) protocols, and consumer protection laws. For example, the 2021 introduction of digital KYC (Know Your Customer) processes has forced banks to invest heavily in technology.</w:t>
      </w:r>
    </w:p>
    <w:p>
      <w:pPr>
        <w:pStyle w:val="BodyText"/>
      </w:pPr>
      <w:r>
        <w:rPr>
          <w:bCs/>
          <w:b/>
        </w:rPr>
        <w:t xml:space="preserve">2. Fintech Disruption:</w:t>
      </w:r>
      <w:r>
        <w:br/>
      </w:r>
      <w:r>
        <w:t xml:space="preserve">Jakarta’s fintech sector has grown exponentially, with platforms like Kredivo and Dana offering services rivaling traditional banks.</w:t>
      </w:r>
      <w:r>
        <w:t xml:space="preserve"> </w:t>
      </w:r>
      <w:r>
        <w:rPr>
          <w:iCs/>
          <w:i/>
        </w:rPr>
        <w:t xml:space="preserve">Bankers</w:t>
      </w:r>
      <w:r>
        <w:t xml:space="preserve"> </w:t>
      </w:r>
      <w:r>
        <w:t xml:space="preserve">are now required to integrate these technologies into their operations, emphasizing the need for continuous upskilling in digital finance.</w:t>
      </w:r>
    </w:p>
    <w:p>
      <w:pPr>
        <w:pStyle w:val="BodyText"/>
      </w:pPr>
      <w:r>
        <w:rPr>
          <w:bCs/>
          <w:b/>
        </w:rPr>
        <w:t xml:space="preserve">3. Financial Inclusion:</w:t>
      </w:r>
      <w:r>
        <w:br/>
      </w:r>
      <w:r>
        <w:t xml:space="preserve">Despite progress, nearly 40% of Jakarta’s population remains unbanked.</w:t>
      </w:r>
      <w:r>
        <w:t xml:space="preserve"> </w:t>
      </w:r>
      <w:r>
        <w:rPr>
          <w:bCs/>
          <w:b/>
        </w:rPr>
        <w:t xml:space="preserve">Bankers</w:t>
      </w:r>
      <w:r>
        <w:t xml:space="preserve"> </w:t>
      </w:r>
      <w:r>
        <w:t xml:space="preserve">are addressing this gap through microfinance initiatives and mobile banking solutions, as seen in Bank Rakyat Indonesia’s (BRI) “Kur” program.</w:t>
      </w:r>
    </w:p>
    <w:bookmarkEnd w:id="23"/>
    <w:bookmarkStart w:id="24" w:name="cultural-and-socio-economic-context"/>
    <w:p>
      <w:pPr>
        <w:pStyle w:val="Heading2"/>
      </w:pPr>
      <w:r>
        <w:t xml:space="preserve">Cultural and Socio-Economic Context</w:t>
      </w:r>
    </w:p>
    <w:p>
      <w:pPr>
        <w:pStyle w:val="FirstParagraph"/>
      </w:pPr>
      <w:r>
        <w:t xml:space="preserve">The cultural dynamics of</w:t>
      </w:r>
      <w:r>
        <w:t xml:space="preserve"> </w:t>
      </w:r>
      <w:r>
        <w:rPr>
          <w:bCs/>
          <w:b/>
        </w:rPr>
        <w:t xml:space="preserve">Jakarta</w:t>
      </w:r>
      <w:r>
        <w:t xml:space="preserve"> </w:t>
      </w:r>
      <w:r>
        <w:t xml:space="preserve">influence the role of a</w:t>
      </w:r>
      <w:r>
        <w:t xml:space="preserve"> </w:t>
      </w:r>
      <w:r>
        <w:rPr>
          <w:iCs/>
          <w:i/>
        </w:rPr>
        <w:t xml:space="preserve">Banker</w:t>
      </w:r>
      <w:r>
        <w:t xml:space="preserve">. For instance, trust in digital systems is lower among older generations, requiring personalized service approaches. Additionally, socio-economic disparities mean that banks must balance profitability with social responsibility.</w:t>
      </w:r>
    </w:p>
    <w:p>
      <w:pPr>
        <w:pStyle w:val="BodyText"/>
      </w:pPr>
      <w:r>
        <w:rPr>
          <w:bCs/>
          <w:b/>
        </w:rPr>
        <w:t xml:space="preserve">Case Study: Bank Mandiri’s Role in Jakarta</w:t>
      </w:r>
      <w:r>
        <w:br/>
      </w:r>
      <w:r>
        <w:t xml:space="preserve">As Indonesia’s largest state-owned bank, Bank Mandiri exemplifies how</w:t>
      </w:r>
      <w:r>
        <w:t xml:space="preserve"> </w:t>
      </w:r>
      <w:r>
        <w:rPr>
          <w:iCs/>
          <w:i/>
        </w:rPr>
        <w:t xml:space="preserve">Bankers</w:t>
      </w:r>
      <w:r>
        <w:t xml:space="preserve"> </w:t>
      </w:r>
      <w:r>
        <w:t xml:space="preserve">can drive inclusive growth. Their collaboration with the Jakarta government on public infrastructure projects highlights the interplay between banking and urban development.</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 High competition from fintech startups.</w:t>
      </w:r>
      <w:r>
        <w:br/>
      </w:r>
      <w:r>
        <w:t xml:space="preserve">- Regulatory pressures to improve financial inclusion.</w:t>
      </w:r>
      <w:r>
        <w:br/>
      </w:r>
      <w:r>
        <w:t xml:space="preserve">- Managing cybersecurity risks in a digitized environment.</w:t>
      </w:r>
    </w:p>
    <w:p>
      <w:pPr>
        <w:pStyle w:val="BodyText"/>
      </w:pPr>
      <w:r>
        <w:rPr>
          <w:bCs/>
          <w:b/>
        </w:rPr>
        <w:t xml:space="preserve">Opportunities:</w:t>
      </w:r>
      <w:r>
        <w:br/>
      </w:r>
      <w:r>
        <w:t xml:space="preserve">- Expanding digital banking services to rural Jakarta areas.</w:t>
      </w:r>
      <w:r>
        <w:br/>
      </w:r>
      <w:r>
        <w:t xml:space="preserve">- Leveraging Jakarta’s status as a regional financial hub for cross-border trade.</w:t>
      </w:r>
      <w:r>
        <w:br/>
      </w:r>
      <w:r>
        <w:t xml:space="preserve">- Innovating sustainable finance products aligned with Indonesia’s net-zero goals.</w:t>
      </w:r>
    </w:p>
    <w:bookmarkEnd w:id="25"/>
    <w:bookmarkStart w:id="26" w:name="conclusion"/>
    <w:p>
      <w:pPr>
        <w:pStyle w:val="Heading2"/>
      </w:pPr>
      <w:r>
        <w:t xml:space="preserve">Conclusion</w:t>
      </w:r>
    </w:p>
    <w:p>
      <w:pPr>
        <w:pStyle w:val="FirstParagraph"/>
      </w:pPr>
      <w:r>
        <w:t xml:space="preserve">This thesis underscores the critical role of</w:t>
      </w:r>
      <w:r>
        <w:t xml:space="preserve"> </w:t>
      </w:r>
      <w:r>
        <w:rPr>
          <w:iCs/>
          <w:i/>
        </w:rPr>
        <w:t xml:space="preserve">Bankers</w:t>
      </w:r>
      <w:r>
        <w:t xml:space="preserve"> </w:t>
      </w:r>
      <w:r>
        <w:t xml:space="preserve">in shaping the financial future of</w:t>
      </w:r>
      <w:r>
        <w:t xml:space="preserve"> </w:t>
      </w:r>
      <w:r>
        <w:rPr>
          <w:bCs/>
          <w:b/>
        </w:rPr>
        <w:t xml:space="preserve">Jakarta, Indonesia</w:t>
      </w:r>
      <w:r>
        <w:t xml:space="preserve">. As the city continues to evolve, so must the strategies and skills of its banking professionals. Future research should explore how emerging technologies like blockchain and AI can further enhance banking efficiency in Jakarta. Ultimately, this study serves as a foundation for understanding how</w:t>
      </w:r>
      <w:r>
        <w:t xml:space="preserve"> </w:t>
      </w:r>
      <w:r>
        <w:rPr>
          <w:bCs/>
          <w:b/>
        </w:rPr>
        <w:t xml:space="preserve">Bankers</w:t>
      </w:r>
      <w:r>
        <w:t xml:space="preserve"> </w:t>
      </w:r>
      <w:r>
        <w:t xml:space="preserve">can thrive in one of Indonesia’s most dynamic economic environments.</w:t>
      </w:r>
    </w:p>
    <w:bookmarkEnd w:id="26"/>
    <w:bookmarkStart w:id="27" w:name="references"/>
    <w:p>
      <w:pPr>
        <w:pStyle w:val="Heading2"/>
      </w:pPr>
      <w:r>
        <w:t xml:space="preserve">References</w:t>
      </w:r>
    </w:p>
    <w:p>
      <w:pPr>
        <w:pStyle w:val="FirstParagraph"/>
      </w:pPr>
      <w:r>
        <w:rPr>
          <w:iCs/>
          <w:i/>
        </w:rPr>
        <w:t xml:space="preserve">Bank Indonesia Reports (2019–2023), Otoritas Jasa Keuangan (OJK) Guidelines, Academic Articles from Journal of Financial Studies, and Interviews with Jakarta-Based Bankers.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Indonesia Jakarta</dc:title>
  <dc:creator/>
  <dc:language>en</dc:language>
  <cp:keywords/>
  <dcterms:created xsi:type="dcterms:W3CDTF">2026-07-23T04:21:42Z</dcterms:created>
  <dcterms:modified xsi:type="dcterms:W3CDTF">2026-07-23T04:21:42Z</dcterms:modified>
</cp:coreProperties>
</file>

<file path=docProps/custom.xml><?xml version="1.0" encoding="utf-8"?>
<Properties xmlns="http://schemas.openxmlformats.org/officeDocument/2006/custom-properties" xmlns:vt="http://schemas.openxmlformats.org/officeDocument/2006/docPropsVTypes"/>
</file>