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2c53c614e153c9a85d0bf987bcf863ec080ba0a"/>
    <w:p>
      <w:pPr>
        <w:pStyle w:val="Heading1"/>
      </w:pPr>
      <w:r>
        <w:t xml:space="preserve">Master Thesis: The Role of Banker in the Economic Landscape of Saudi Arabia, Riyadh</w:t>
      </w:r>
    </w:p>
    <w:bookmarkStart w:id="20" w:name="abstract"/>
    <w:p>
      <w:pPr>
        <w:pStyle w:val="Heading2"/>
      </w:pPr>
      <w:r>
        <w:t xml:space="preserve">Abstract</w:t>
      </w:r>
    </w:p>
    <w:p>
      <w:pPr>
        <w:pStyle w:val="FirstParagraph"/>
      </w:pPr>
      <w:r>
        <w:t xml:space="preserve">This Master Thesis investigates the pivotal role of bankers within the dynamic financial ecosystem of Saudi Arabia, specifically focusing on Riyadh. As a central hub for economic activity and innovation in the kingdom, Riyadh has become a focal point for studying how bankers adapt to evolving regulatory frameworks, technological advancements, and national economic goals such as Vision 2030. The study explores the challenges and opportunities faced by bankers in Riyadh, emphasizing their contributions to financial inclusion, sustainable development, and global competitiveness. Through qualitative analysis of industry reports, interviews with banking professionals, and case studies of local institutions like National Commercial Bank (NCB) and Al Rajhi Bank, this thesis provides insights into the strategic alignment between banker practices and Saudi Arabia’s broader economic vision.</w:t>
      </w:r>
    </w:p>
    <w:bookmarkEnd w:id="20"/>
    <w:bookmarkStart w:id="21" w:name="introduction"/>
    <w:p>
      <w:pPr>
        <w:pStyle w:val="Heading2"/>
      </w:pPr>
      <w:r>
        <w:t xml:space="preserve">Introduction</w:t>
      </w:r>
    </w:p>
    <w:p>
      <w:pPr>
        <w:pStyle w:val="FirstParagraph"/>
      </w:pPr>
      <w:r>
        <w:t xml:space="preserve">Saudi Arabia is undergoing a profound transformation driven by Vision 2030, a strategic initiative aimed at diversifying the kingdom’s economy beyond oil dependency. At the heart of this transition lies Riyadh, the capital city and financial epicenter of Saudi Arabia. As one of the world’s fastest-growing cities, Riyadh hosts multinational corporations, startups, and financial institutions that shape its economic landscape. Within this context, bankers play a critical role in facilitating investments, managing risks, and ensuring compliance with both local and international regulations. This thesis examines how bankers in Riyadh navigate the unique challenges of operating within a conservative yet rapidly modernizing economy while aligning their practices with national priorities.</w:t>
      </w:r>
    </w:p>
    <w:bookmarkEnd w:id="21"/>
    <w:bookmarkStart w:id="22" w:name="literature-review"/>
    <w:p>
      <w:pPr>
        <w:pStyle w:val="Heading2"/>
      </w:pPr>
      <w:r>
        <w:t xml:space="preserve">Literature Review</w:t>
      </w:r>
    </w:p>
    <w:p>
      <w:pPr>
        <w:pStyle w:val="FirstParagraph"/>
      </w:pPr>
      <w:r>
        <w:t xml:space="preserve">Bankers have traditionally been viewed as intermediaries between savers and borrowers, but in modern economies, their roles extend to financial planning, risk management, and innovation. In Saudi Arabia, the banking sector has evolved significantly since the 1980s with the establishment of the Saudi Central Bank (SAMA) and the gradual liberalization of financial markets. Studies by Al-Subaiyan (2018) highlight how Islamic banking principles coexist with conventional models in Riyadh, creating a unique regulatory environment. Additionally, global trends such as digital banking, fintech integration, and ESG (Environmental, Social, Governance) compliance are reshaping the expectations of bankers in Riyadh. This thesis builds on these themes to analyze the interplay between banker responsibilities and Saudi Arabia’s economic aspirations.</w:t>
      </w:r>
    </w:p>
    <w:bookmarkEnd w:id="22"/>
    <w:bookmarkStart w:id="23" w:name="methodology"/>
    <w:p>
      <w:pPr>
        <w:pStyle w:val="Heading2"/>
      </w:pPr>
      <w:r>
        <w:t xml:space="preserve">Methodology</w:t>
      </w:r>
    </w:p>
    <w:p>
      <w:pPr>
        <w:pStyle w:val="FirstParagraph"/>
      </w:pPr>
      <w:r>
        <w:t xml:space="preserve">This Master Thesis employs a qualitative research approach grounded in case studies and secondary data analysis. The study focuses on three pillars: (1) regulatory frameworks governing banking in Riyadh, (2) the role of bankers in supporting Vision 2030 initiatives, and (3) the impact of technological innovation on banker-client relationships. Data sources include SAMA publications, annual reports from leading banks in Riyadh, and semi-structured interviews with professionals across private and public sectors. The analysis emphasizes how bankers balance compliance with Islamic financial ethics against global standards while fostering economic growth.</w:t>
      </w:r>
    </w:p>
    <w:bookmarkEnd w:id="23"/>
    <w:bookmarkStart w:id="24" w:name="findings"/>
    <w:p>
      <w:pPr>
        <w:pStyle w:val="Heading2"/>
      </w:pPr>
      <w:r>
        <w:t xml:space="preserve">Findings</w:t>
      </w:r>
    </w:p>
    <w:p>
      <w:pPr>
        <w:pStyle w:val="FirstParagraph"/>
      </w:pPr>
      <w:r>
        <w:t xml:space="preserve">The research reveals that bankers in Riyadh are at the forefront of implementing Vision 2030’s goals, particularly in sectors like renewable energy, real estate, and technology. For example, banks such as NCB have launched specialized financing products for green projects aligned with Saudi Arabia’s environmental targets. Additionally, the rise of digital banking platforms (e.g., Al Rajhi Bank’s mobile app) underscores how bankers are leveraging technology to improve accessibility and financial inclusion. Challenges include navigating complex regulatory requirements and addressing cultural barriers to innovation. However, collaboration between banks, government agencies, and fintech startups in Riyadh has fostered a resilient ecosystem for growth.</w:t>
      </w:r>
    </w:p>
    <w:bookmarkEnd w:id="24"/>
    <w:bookmarkStart w:id="25" w:name="discussion"/>
    <w:p>
      <w:pPr>
        <w:pStyle w:val="Heading2"/>
      </w:pPr>
      <w:r>
        <w:t xml:space="preserve">Discussion</w:t>
      </w:r>
    </w:p>
    <w:p>
      <w:pPr>
        <w:pStyle w:val="FirstParagraph"/>
      </w:pPr>
      <w:r>
        <w:t xml:space="preserve">The findings highlight the transformative role of bankers in Saudi Arabia’s economic strategy. By aligning their operations with Vision 2030’s pillars—such as reducing oil dependency and boosting non-oil revenue—bankers are not only facilitating financial transactions but also driving national development. The integration of Islamic banking principles, which prohibit interest-based transactions, has required creativity in product design and risk assessment. Furthermore, the adoption of AI-driven tools for fraud detection and customer service illustrates how bankers in Riyadh are adapting to global trends while maintaining cultural relevance.</w:t>
      </w:r>
    </w:p>
    <w:bookmarkEnd w:id="25"/>
    <w:bookmarkStart w:id="26" w:name="conclusion"/>
    <w:p>
      <w:pPr>
        <w:pStyle w:val="Heading2"/>
      </w:pPr>
      <w:r>
        <w:t xml:space="preserve">Conclusion</w:t>
      </w:r>
    </w:p>
    <w:p>
      <w:pPr>
        <w:pStyle w:val="FirstParagraph"/>
      </w:pPr>
      <w:r>
        <w:t xml:space="preserve">This Master Thesis underscores the indispensable role of bankers in shaping Saudi Arabia’s economic future through their expertise, adaptability, and alignment with national objectives. In Riyadh, bankers serve as both enablers of innovation and custodians of tradition, navigating a complex interplay between Islamic finance principles and modern financial technologies. As Saudi Arabia continues its journey toward Vision 2030, the contributions of bankers in Riyadh will remain central to achieving sustainable growth and global competitiveness. Future research could explore the long-term impact of digital transformation on banking practices or the role of youth employment in shaping the next generation of bankers in Saudi Arabia.</w:t>
      </w:r>
    </w:p>
    <w:bookmarkEnd w:id="26"/>
    <w:bookmarkStart w:id="27" w:name="references"/>
    <w:p>
      <w:pPr>
        <w:pStyle w:val="Heading2"/>
      </w:pPr>
      <w:r>
        <w:t xml:space="preserve">References</w:t>
      </w:r>
    </w:p>
    <w:p>
      <w:pPr>
        <w:numPr>
          <w:ilvl w:val="0"/>
          <w:numId w:val="1001"/>
        </w:numPr>
        <w:pStyle w:val="Compact"/>
      </w:pPr>
      <w:r>
        <w:t xml:space="preserve">Al-Subaiyan, M. (2018). "Islamic Banking in Saudi Arabia: Challenges and Opportunities."</w:t>
      </w:r>
      <w:r>
        <w:t xml:space="preserve"> </w:t>
      </w:r>
      <w:r>
        <w:rPr>
          <w:iCs/>
          <w:i/>
        </w:rPr>
        <w:t xml:space="preserve">Saudi Arabian Journal of Economics</w:t>
      </w:r>
      <w:r>
        <w:t xml:space="preserve">.</w:t>
      </w:r>
    </w:p>
    <w:p>
      <w:pPr>
        <w:numPr>
          <w:ilvl w:val="0"/>
          <w:numId w:val="1001"/>
        </w:numPr>
        <w:pStyle w:val="Compact"/>
      </w:pPr>
      <w:r>
        <w:t xml:space="preserve">Saudi Central Bank (SAMA). (2023). "Annual Report on Financial Sector Development."</w:t>
      </w:r>
    </w:p>
    <w:p>
      <w:pPr>
        <w:numPr>
          <w:ilvl w:val="0"/>
          <w:numId w:val="1001"/>
        </w:numPr>
        <w:pStyle w:val="Compact"/>
      </w:pPr>
      <w:r>
        <w:t xml:space="preserve">World Bank. (2021). "Vision 2030: Economic Diversification in Saudi Arabia."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Banker in Saudi Arabia Riyadh</dc:title>
  <dc:creator/>
  <dc:language>en</dc:language>
  <cp:keywords/>
  <dcterms:created xsi:type="dcterms:W3CDTF">2026-07-20T21:04:47Z</dcterms:created>
  <dcterms:modified xsi:type="dcterms:W3CDTF">2026-07-20T21:04:47Z</dcterms:modified>
</cp:coreProperties>
</file>

<file path=docProps/custom.xml><?xml version="1.0" encoding="utf-8"?>
<Properties xmlns="http://schemas.openxmlformats.org/officeDocument/2006/custom-properties" xmlns:vt="http://schemas.openxmlformats.org/officeDocument/2006/docPropsVTypes"/>
</file>