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f5217cc32fe3be9478cada1a9d57d5c532bd6cd"/>
    <w:p>
      <w:pPr>
        <w:pStyle w:val="Heading1"/>
      </w:pPr>
      <w:r>
        <w:t xml:space="preserve">Master Thesis: The Role of the Banker in Sudan Khartoum</w:t>
      </w:r>
    </w:p>
    <w:bookmarkStart w:id="20" w:name="abstract"/>
    <w:p>
      <w:pPr>
        <w:pStyle w:val="Heading2"/>
      </w:pPr>
      <w:r>
        <w:t xml:space="preserve">Abstract</w:t>
      </w:r>
    </w:p>
    <w:p>
      <w:pPr>
        <w:pStyle w:val="FirstParagraph"/>
      </w:pPr>
      <w:r>
        <w:t xml:space="preserve">This Master Thesis explores the critical role of the banker in Sudan Khartoum, emphasizing their influence on economic stability, financial inclusion, and socio-political development. The study examines how bankers navigate challenges such as inflation, regulatory frameworks, and geopolitical instability in Sudan’s capital. By analyzing case studies of local banks and their operations in Khartoum, this thesis highlights the responsibilities of the banker as both a financial institution leader and a catalyst for sustainable growth in Sudan’s evolving economic landscape.</w:t>
      </w:r>
    </w:p>
    <w:bookmarkEnd w:id="20"/>
    <w:bookmarkStart w:id="21" w:name="introduction"/>
    <w:p>
      <w:pPr>
        <w:pStyle w:val="Heading2"/>
      </w:pPr>
      <w:r>
        <w:t xml:space="preserve">Introduction</w:t>
      </w:r>
    </w:p>
    <w:p>
      <w:pPr>
        <w:pStyle w:val="FirstParagraph"/>
      </w:pPr>
      <w:r>
        <w:t xml:space="preserve">Sudan Khartoum, as the political, economic, and cultural heart of Sudan, has long been a focal point for financial activity. The banker in this region plays a pivotal role in shaping the country’s economic trajectory. This Master Thesis investigates the unique challenges and opportunities faced by bankers operating within Sudan Khartoum’s complex environment. Given the historical context of political instability and economic reform efforts, understanding the dynamics of banking in this region is essential for addressing contemporary issues such as currency devaluation, access to credit, and financial sector resilience.</w:t>
      </w:r>
    </w:p>
    <w:p>
      <w:pPr>
        <w:pStyle w:val="BodyText"/>
      </w:pPr>
      <w:r>
        <w:t xml:space="preserve">The study aims to answer key questions: How do bankers in Sudan Khartoum adapt to macroeconomic challenges? What role do they play in fostering financial inclusion among marginalized communities? And how can their practices align with global best practices while respecting local customs and regulations?</w:t>
      </w:r>
    </w:p>
    <w:bookmarkEnd w:id="21"/>
    <w:bookmarkStart w:id="22" w:name="literature-review"/>
    <w:p>
      <w:pPr>
        <w:pStyle w:val="Heading2"/>
      </w:pPr>
      <w:r>
        <w:t xml:space="preserve">Literature Review</w:t>
      </w:r>
    </w:p>
    <w:p>
      <w:pPr>
        <w:pStyle w:val="FirstParagraph"/>
      </w:pPr>
      <w:r>
        <w:t xml:space="preserve">Existing research on banking systems in Sudan highlights the dual role of banks as both economic actors and instruments of state policy. In Khartoum, the interplay between government regulation and market forces has historically shaped the operations of local banks. Studies by El-Tahir (2015) and Al-Mahdi (2018) emphasize that Sudan’s banking sector has been constrained by factors such as capital flight, foreign exchange shortages, and inconsistent monetary policies.</w:t>
      </w:r>
    </w:p>
    <w:p>
      <w:pPr>
        <w:pStyle w:val="BodyText"/>
      </w:pPr>
      <w:r>
        <w:t xml:space="preserve">However, recent scholarship underscores the potential of digital banking innovations to transform financial services in Sudan Khartoum. For instance, the rise of mobile money platforms has enabled bankers to reach underserved populations. This thesis builds on these insights by focusing on the practical implications for bankers navigating this transition.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Data was collected from primary sources, including interviews with senior bankers in Sudan Khartoum, as well as secondary sources such as financial reports and policy documents.</w:t>
      </w:r>
    </w:p>
    <w:p>
      <w:pPr>
        <w:pStyle w:val="BodyText"/>
      </w:pPr>
      <w:r>
        <w:t xml:space="preserve">The study focuses on three major banks operating in Sudan Khartoum: National Commercial Bank of Sudan (NCB), Al-Wifaq Bank, and the Central Bank of Sudan. These institutions were selected for their representation of public, private, and central banking sectors. Surveys were conducted to assess customer satisfaction levels and challenges faced by bankers in providing services under current economic conditions.</w:t>
      </w:r>
    </w:p>
    <w:bookmarkEnd w:id="23"/>
    <w:bookmarkStart w:id="24" w:name="findings"/>
    <w:p>
      <w:pPr>
        <w:pStyle w:val="Heading2"/>
      </w:pPr>
      <w:r>
        <w:t xml:space="preserve">Findings</w:t>
      </w:r>
    </w:p>
    <w:p>
      <w:pPr>
        <w:pStyle w:val="FirstParagraph"/>
      </w:pPr>
      <w:r>
        <w:t xml:space="preserve">The findings reveal that bankers in Sudan Khartoum are uniquely positioned to mediate between the government and private sector. Key challenges include:</w:t>
      </w:r>
    </w:p>
    <w:p>
      <w:pPr>
        <w:numPr>
          <w:ilvl w:val="0"/>
          <w:numId w:val="1001"/>
        </w:numPr>
        <w:pStyle w:val="Compact"/>
      </w:pPr>
      <w:r>
        <w:rPr>
          <w:bCs/>
          <w:b/>
        </w:rPr>
        <w:t xml:space="preserve">Exchange Rate Volatility:</w:t>
      </w:r>
      <w:r>
        <w:t xml:space="preserve"> </w:t>
      </w:r>
      <w:r>
        <w:t xml:space="preserve">The Sudanese pound’s instability has forced bankers to adopt flexible lending practices, often at the expense of long-term profitability.</w:t>
      </w:r>
    </w:p>
    <w:p>
      <w:pPr>
        <w:numPr>
          <w:ilvl w:val="0"/>
          <w:numId w:val="1001"/>
        </w:numPr>
        <w:pStyle w:val="Compact"/>
      </w:pPr>
      <w:r>
        <w:rPr>
          <w:bCs/>
          <w:b/>
        </w:rPr>
        <w:t xml:space="preserve">Regulatory Constraints:</w:t>
      </w:r>
      <w:r>
        <w:t xml:space="preserve"> </w:t>
      </w:r>
      <w:r>
        <w:t xml:space="preserve">Stringent government controls on capital flows have limited the ability of local banks to expand their services internationally.</w:t>
      </w:r>
    </w:p>
    <w:p>
      <w:pPr>
        <w:numPr>
          <w:ilvl w:val="0"/>
          <w:numId w:val="1001"/>
        </w:numPr>
        <w:pStyle w:val="Compact"/>
      </w:pPr>
      <w:r>
        <w:rPr>
          <w:bCs/>
          <w:b/>
        </w:rPr>
        <w:t xml:space="preserve">Financial Inclusion Gaps:</w:t>
      </w:r>
      <w:r>
        <w:t xml:space="preserve"> </w:t>
      </w:r>
      <w:r>
        <w:t xml:space="preserve">Despite progress in mobile banking, rural areas and marginalized communities remain underserved, highlighting the need for innovative solutions.</w:t>
      </w:r>
    </w:p>
    <w:p>
      <w:pPr>
        <w:pStyle w:val="FirstParagraph"/>
      </w:pPr>
      <w:r>
        <w:t xml:space="preserve">Notably, bankers in Sudan Khartoum have demonstrated resilience by leveraging technology and fostering partnerships with international financial institutions to mitigate risks.</w:t>
      </w:r>
    </w:p>
    <w:bookmarkEnd w:id="24"/>
    <w:bookmarkStart w:id="25" w:name="discussion"/>
    <w:p>
      <w:pPr>
        <w:pStyle w:val="Heading2"/>
      </w:pPr>
      <w:r>
        <w:t xml:space="preserve">Discussion</w:t>
      </w:r>
    </w:p>
    <w:p>
      <w:pPr>
        <w:pStyle w:val="FirstParagraph"/>
      </w:pPr>
      <w:r>
        <w:t xml:space="preserve">The role of the banker in Sudan Khartoum extends beyond traditional banking functions. As custodians of economic stability, they must balance the demands of profitability with social responsibility. For instance, many banks have initiated microfinance programs to empower women and youth in Khartoum’s informal economy.</w:t>
      </w:r>
    </w:p>
    <w:p>
      <w:pPr>
        <w:pStyle w:val="BodyText"/>
      </w:pPr>
      <w:r>
        <w:t xml:space="preserve">However, the study also identifies gaps in capacity building and ethical governance within the banking sector. Recommendations include:</w:t>
      </w:r>
    </w:p>
    <w:p>
      <w:pPr>
        <w:numPr>
          <w:ilvl w:val="0"/>
          <w:numId w:val="1002"/>
        </w:numPr>
        <w:pStyle w:val="Compact"/>
      </w:pPr>
      <w:r>
        <w:t xml:space="preserve">Enhancing regulatory frameworks to protect both consumers and financial institutions.</w:t>
      </w:r>
    </w:p>
    <w:p>
      <w:pPr>
        <w:numPr>
          <w:ilvl w:val="0"/>
          <w:numId w:val="1002"/>
        </w:numPr>
        <w:pStyle w:val="Compact"/>
      </w:pPr>
      <w:r>
        <w:t xml:space="preserve">Promoting digital literacy among Khartoum residents to maximize the potential of fintech solutions.</w:t>
      </w:r>
    </w:p>
    <w:p>
      <w:pPr>
        <w:numPr>
          <w:ilvl w:val="0"/>
          <w:numId w:val="1002"/>
        </w:numPr>
        <w:pStyle w:val="Compact"/>
      </w:pPr>
      <w:r>
        <w:t xml:space="preserve">Fostering collaboration between Sudanese banks and global organizations to share best practices in risk management.</w:t>
      </w:r>
    </w:p>
    <w:bookmarkEnd w:id="25"/>
    <w:bookmarkStart w:id="26" w:name="conclusion"/>
    <w:p>
      <w:pPr>
        <w:pStyle w:val="Heading2"/>
      </w:pPr>
      <w:r>
        <w:t xml:space="preserve">Conclusion</w:t>
      </w:r>
    </w:p>
    <w:p>
      <w:pPr>
        <w:pStyle w:val="FirstParagraph"/>
      </w:pPr>
      <w:r>
        <w:t xml:space="preserve">In conclusion, this Master Thesis underscores the indispensable role of the banker in Sudan Khartoum. Amidst a backdrop of economic uncertainty, bankers must innovate and adapt to serve their communities effectively. The study contributes to the academic discourse on banking in conflict-affected regions and provides actionable insights for policymakers and practitioners.</w:t>
      </w:r>
    </w:p>
    <w:p>
      <w:pPr>
        <w:pStyle w:val="BodyText"/>
      </w:pPr>
      <w:r>
        <w:t xml:space="preserve">Future research should explore the long-term impact of recent currency reforms on banking operations in Sudan Khartoum, as well as the role of ethical leadership in mitigating systemic risks. Ultimately, this thesis reaffirms that the banker is not just a financial actor but a vital pillar of Sudan’s socio-economic development.</w:t>
      </w:r>
    </w:p>
    <w:bookmarkEnd w:id="26"/>
    <w:p>
      <w:pPr>
        <w:pStyle w:val="BodyText"/>
      </w:pPr>
      <w:r>
        <w:t xml:space="preserve">Submitted for the degree of Master in Banking and Finance, University of Khartoum</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Sudan Khartoum</dc:title>
  <dc:creator/>
  <dc:language>en</dc:language>
  <cp:keywords/>
  <dcterms:created xsi:type="dcterms:W3CDTF">2026-07-22T20:45:57Z</dcterms:created>
  <dcterms:modified xsi:type="dcterms:W3CDTF">2026-07-22T20:45:57Z</dcterms:modified>
</cp:coreProperties>
</file>

<file path=docProps/custom.xml><?xml version="1.0" encoding="utf-8"?>
<Properties xmlns="http://schemas.openxmlformats.org/officeDocument/2006/custom-properties" xmlns:vt="http://schemas.openxmlformats.org/officeDocument/2006/docPropsVTypes"/>
</file>