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8b404b7d3f81d35cab1e070a6c0a9581db99735"/>
    <w:p>
      <w:pPr>
        <w:pStyle w:val="Heading1"/>
      </w:pPr>
      <w:r>
        <w:t xml:space="preserve">Master Thesis: The Role of a Banker in United Arab Emirates Abu Dhabi</w:t>
      </w:r>
    </w:p>
    <w:p>
      <w:pPr>
        <w:pStyle w:val="FirstParagraph"/>
      </w:pPr>
      <w:r>
        <w:rPr>
          <w:bCs/>
          <w:b/>
        </w:rPr>
        <w:t xml:space="preserve">Introduction:</w:t>
      </w:r>
    </w:p>
    <w:p>
      <w:pPr>
        <w:pStyle w:val="BodyText"/>
      </w:pPr>
      <w:r>
        <w:t xml:space="preserve">The</w:t>
      </w:r>
      <w:r>
        <w:t xml:space="preserve"> </w:t>
      </w:r>
      <w:r>
        <w:rPr>
          <w:bCs/>
          <w:b/>
        </w:rPr>
        <w:t xml:space="preserve">"Banker"</w:t>
      </w:r>
      <w:r>
        <w:t xml:space="preserve"> </w:t>
      </w:r>
      <w:r>
        <w:t xml:space="preserve">holds a pivotal role in shaping the financial landscape of any economy, and this is particularly evident in the</w:t>
      </w:r>
      <w:r>
        <w:t xml:space="preserve"> </w:t>
      </w:r>
      <w:r>
        <w:rPr>
          <w:iCs/>
          <w:i/>
        </w:rPr>
        <w:t xml:space="preserve">United Arab Emirates Abu Dhabi</w:t>
      </w:r>
      <w:r>
        <w:t xml:space="preserve">. As the capital of the UAE and a global hub for finance, trade, and innovation, Abu Dhabi has positioned itself as a leader in economic diversification. This Master Thesis explores how bankers operate within this dynamic environment, balancing regulatory frameworks, cultural values, and technological advancements to drive sustainable growth. The study delves into the responsibilities of bankers in Abu Dhabi’s unique financial ecosystem while addressing challenges and opportunities specific to the</w:t>
      </w:r>
      <w:r>
        <w:t xml:space="preserve"> </w:t>
      </w:r>
      <w:r>
        <w:rPr>
          <w:iCs/>
          <w:i/>
        </w:rPr>
        <w:t xml:space="preserve">United Arab Emirates Abu Dhabi</w:t>
      </w:r>
      <w:r>
        <w:t xml:space="preserve"> </w:t>
      </w:r>
      <w:r>
        <w:t xml:space="preserve">context.</w:t>
      </w:r>
    </w:p>
    <w:p>
      <w:pPr>
        <w:pStyle w:val="BodyText"/>
      </w:pPr>
      <w:r>
        <w:rPr>
          <w:bCs/>
          <w:b/>
        </w:rPr>
        <w:t xml:space="preserve">The Evolving Role of a Banker in UAE Abu Dhabi:</w:t>
      </w:r>
    </w:p>
    <w:p>
      <w:pPr>
        <w:pStyle w:val="BodyText"/>
      </w:pPr>
      <w:r>
        <w:t xml:space="preserve">In the</w:t>
      </w:r>
      <w:r>
        <w:t xml:space="preserve"> </w:t>
      </w:r>
      <w:r>
        <w:rPr>
          <w:iCs/>
          <w:i/>
        </w:rPr>
        <w:t xml:space="preserve">United Arab Emirates Abu Dhabi</w:t>
      </w:r>
      <w:r>
        <w:t xml:space="preserve">, bankers are not merely financial intermediaries; they are strategic partners in fostering economic resilience. The region’s rapid urbanization, coupled with its reliance on oil and gas revenues, has necessitated a shift toward diversified financial services. Bankers in Abu Dhabi must navigate complex regulations set by the Central Bank of the United Arab Emirates (CBUAE) while ensuring compliance with Islamic finance principles where applicable. For instance, banks like</w:t>
      </w:r>
      <w:r>
        <w:t xml:space="preserve"> </w:t>
      </w:r>
      <w:r>
        <w:rPr>
          <w:iCs/>
          <w:i/>
        </w:rPr>
        <w:t xml:space="preserve">Abu Dhabi Commercial Bank (ADCB)</w:t>
      </w:r>
      <w:r>
        <w:t xml:space="preserve"> </w:t>
      </w:r>
      <w:r>
        <w:t xml:space="preserve">and</w:t>
      </w:r>
      <w:r>
        <w:t xml:space="preserve"> </w:t>
      </w:r>
      <w:r>
        <w:rPr>
          <w:iCs/>
          <w:i/>
        </w:rPr>
        <w:t xml:space="preserve">Mubadala Investment Company</w:t>
      </w:r>
      <w:r>
        <w:t xml:space="preserve"> </w:t>
      </w:r>
      <w:r>
        <w:t xml:space="preserve">exemplify how bankers leverage innovation to align with both global standards and local traditions.</w:t>
      </w:r>
    </w:p>
    <w:p>
      <w:pPr>
        <w:pStyle w:val="BodyText"/>
      </w:pPr>
      <w:r>
        <w:t xml:space="preserve">The role of a banker in Abu Dhabi extends beyond traditional lending and investment. With the emirate’s Vision 2030 initiative, which aims to reduce dependence on hydrocarbons, bankers are instrumental in financing renewable energy projects, real estate development, and technology startups. This requires a deep understanding of sector-specific risks and opportunities—a skill set increasingly demanded by</w:t>
      </w:r>
      <w:r>
        <w:t xml:space="preserve"> </w:t>
      </w:r>
      <w:r>
        <w:rPr>
          <w:bCs/>
          <w:b/>
        </w:rPr>
        <w:t xml:space="preserve">"Bankers"</w:t>
      </w:r>
      <w:r>
        <w:t xml:space="preserve"> </w:t>
      </w:r>
      <w:r>
        <w:t xml:space="preserve">operating in the</w:t>
      </w:r>
      <w:r>
        <w:t xml:space="preserve"> </w:t>
      </w:r>
      <w:r>
        <w:rPr>
          <w:iCs/>
          <w:i/>
        </w:rPr>
        <w:t xml:space="preserve">United Arab Emirates Abu Dhabi</w:t>
      </w:r>
      <w:r>
        <w:t xml:space="preserve">.</w:t>
      </w:r>
    </w:p>
    <w:p>
      <w:pPr>
        <w:pStyle w:val="BodyText"/>
      </w:pPr>
      <w:r>
        <w:rPr>
          <w:bCs/>
          <w:b/>
        </w:rPr>
        <w:t xml:space="preserve">Challenges Faced by Bankers in United Arab Emirates Abu Dhabi:</w:t>
      </w:r>
    </w:p>
    <w:p>
      <w:pPr>
        <w:pStyle w:val="BodyText"/>
      </w:pPr>
      <w:r>
        <w:t xml:space="preserve">Banking in the</w:t>
      </w:r>
      <w:r>
        <w:t xml:space="preserve"> </w:t>
      </w:r>
      <w:r>
        <w:rPr>
          <w:iCs/>
          <w:i/>
        </w:rPr>
        <w:t xml:space="preserve">United Arab Emirates Abu Dhabi</w:t>
      </w:r>
      <w:r>
        <w:t xml:space="preserve"> </w:t>
      </w:r>
      <w:r>
        <w:t xml:space="preserve">is not without challenges. One significant hurdle is the regulatory environment, which demands stringent compliance with anti-money laundering (AML) and know-your-customer (KYC) protocols. Additionally, the global economic volatility post-pandemic has intensified competition among banks, pushing bankers to innovate rapidly. For example, digital banking solutions like</w:t>
      </w:r>
      <w:r>
        <w:t xml:space="preserve"> </w:t>
      </w:r>
      <w:r>
        <w:rPr>
          <w:iCs/>
          <w:i/>
        </w:rPr>
        <w:t xml:space="preserve">ADCB’s digital wallet</w:t>
      </w:r>
      <w:r>
        <w:t xml:space="preserve"> </w:t>
      </w:r>
      <w:r>
        <w:t xml:space="preserve">have emerged as critical tools for maintaining customer engagement in a tech-savvy market.</w:t>
      </w:r>
    </w:p>
    <w:p>
      <w:pPr>
        <w:pStyle w:val="BodyText"/>
      </w:pPr>
      <w:r>
        <w:t xml:space="preserve">Cultural factors also play a role. The UAE’s emphasis on personal relationships and trust in business dealings requires bankers to balance professionalism with cultural sensitivity. Furthermore, the rise of fintech startups poses a threat to traditional banking models, compelling</w:t>
      </w:r>
      <w:r>
        <w:t xml:space="preserve"> </w:t>
      </w:r>
      <w:r>
        <w:rPr>
          <w:bCs/>
          <w:b/>
        </w:rPr>
        <w:t xml:space="preserve">"Bankers"</w:t>
      </w:r>
      <w:r>
        <w:t xml:space="preserve"> </w:t>
      </w:r>
      <w:r>
        <w:t xml:space="preserve">in Abu Dhabi to adopt disruptive technologies or risk obsolescence.</w:t>
      </w:r>
    </w:p>
    <w:p>
      <w:pPr>
        <w:pStyle w:val="BodyText"/>
      </w:pPr>
      <w:r>
        <w:rPr>
          <w:bCs/>
          <w:b/>
        </w:rPr>
        <w:t xml:space="preserve">Opportunities for Bankers in United Arab Emirates Abu Dhabi:</w:t>
      </w:r>
    </w:p>
    <w:p>
      <w:pPr>
        <w:pStyle w:val="BodyText"/>
      </w:pPr>
      <w:r>
        <w:t xml:space="preserve">Despite challenges, the</w:t>
      </w:r>
      <w:r>
        <w:t xml:space="preserve"> </w:t>
      </w:r>
      <w:r>
        <w:rPr>
          <w:iCs/>
          <w:i/>
        </w:rPr>
        <w:t xml:space="preserve">United Arab Emirates Abu Dhabi</w:t>
      </w:r>
      <w:r>
        <w:t xml:space="preserve"> </w:t>
      </w:r>
      <w:r>
        <w:t xml:space="preserve">presents unparalleled opportunities for bankers. The emirate’s strategic location as a global financial center attracts international investors, creating demand for skilled bankers who can manage cross-border transactions and multilingual client portfolios. Additionally, the government’s push toward financial inclusion has led to initiatives like</w:t>
      </w:r>
      <w:r>
        <w:t xml:space="preserve"> </w:t>
      </w:r>
      <w:r>
        <w:rPr>
          <w:iCs/>
          <w:i/>
        </w:rPr>
        <w:t xml:space="preserve">Saudi Arabia’s Vision 2030</w:t>
      </w:r>
      <w:r>
        <w:t xml:space="preserve"> </w:t>
      </w:r>
      <w:r>
        <w:t xml:space="preserve">and</w:t>
      </w:r>
      <w:r>
        <w:t xml:space="preserve"> </w:t>
      </w:r>
      <w:r>
        <w:rPr>
          <w:iCs/>
          <w:i/>
        </w:rPr>
        <w:t xml:space="preserve">Abu Dhabi’s Smart Abu Dhabi</w:t>
      </w:r>
      <w:r>
        <w:t xml:space="preserve">, which encourage digital banking adoption—a domain where bankers can leverage their expertise.</w:t>
      </w:r>
    </w:p>
    <w:p>
      <w:pPr>
        <w:pStyle w:val="BodyText"/>
      </w:pPr>
      <w:r>
        <w:t xml:space="preserve">The growth of Islamic finance offers another avenue. Bankers in the UAE must navigate Sharia-compliant practices, which often require specialized knowledge. Institutions like</w:t>
      </w:r>
      <w:r>
        <w:t xml:space="preserve"> </w:t>
      </w:r>
      <w:r>
        <w:rPr>
          <w:iCs/>
          <w:i/>
        </w:rPr>
        <w:t xml:space="preserve">Asharq Investment Bank</w:t>
      </w:r>
      <w:r>
        <w:t xml:space="preserve"> </w:t>
      </w:r>
      <w:r>
        <w:t xml:space="preserve">demonstrate how this niche market is being capitalized on, creating unique career paths for bankers with a focus on ethical and religiously aligned financial solutions.</w:t>
      </w:r>
    </w:p>
    <w:p>
      <w:pPr>
        <w:pStyle w:val="BodyText"/>
      </w:pPr>
      <w:r>
        <w:rPr>
          <w:bCs/>
          <w:b/>
        </w:rPr>
        <w:t xml:space="preserve">Case Studies: Bankers in Action in United Arab Emirates Abu Dhabi:</w:t>
      </w:r>
    </w:p>
    <w:p>
      <w:pPr>
        <w:pStyle w:val="BodyText"/>
      </w:pPr>
      <w:r>
        <w:t xml:space="preserve">To illustrate the practical application of banking principles in Abu Dhabi, this study examines two case studies. First,</w:t>
      </w:r>
      <w:r>
        <w:t xml:space="preserve"> </w:t>
      </w:r>
      <w:r>
        <w:rPr>
          <w:iCs/>
          <w:i/>
        </w:rPr>
        <w:t xml:space="preserve">Mubadala Investment Company</w:t>
      </w:r>
      <w:r>
        <w:t xml:space="preserve"> </w:t>
      </w:r>
      <w:r>
        <w:t xml:space="preserve">highlights how bankers facilitate large-scale investments in sectors such as aerospace and healthcare. Second, the</w:t>
      </w:r>
      <w:r>
        <w:t xml:space="preserve"> </w:t>
      </w:r>
      <w:r>
        <w:rPr>
          <w:iCs/>
          <w:i/>
        </w:rPr>
        <w:t xml:space="preserve">Abu Dhabi Global Market (ADGM)</w:t>
      </w:r>
      <w:r>
        <w:t xml:space="preserve">, a financial free zone, showcases how bankers operate under a hybrid legal framework that blends common law with Sharia principles.</w:t>
      </w:r>
    </w:p>
    <w:p>
      <w:pPr>
        <w:pStyle w:val="BodyText"/>
      </w:pPr>
      <w:r>
        <w:rPr>
          <w:bCs/>
          <w:b/>
        </w:rPr>
        <w:t xml:space="preserve">Conclusion:</w:t>
      </w:r>
    </w:p>
    <w:p>
      <w:pPr>
        <w:pStyle w:val="BodyText"/>
      </w:pPr>
      <w:r>
        <w:t xml:space="preserve">The</w:t>
      </w:r>
      <w:r>
        <w:t xml:space="preserve"> </w:t>
      </w:r>
      <w:r>
        <w:rPr>
          <w:bCs/>
          <w:b/>
        </w:rPr>
        <w:t xml:space="preserve">"Banker"</w:t>
      </w:r>
      <w:r>
        <w:t xml:space="preserve"> </w:t>
      </w:r>
      <w:r>
        <w:t xml:space="preserve">in the</w:t>
      </w:r>
      <w:r>
        <w:t xml:space="preserve"> </w:t>
      </w:r>
      <w:r>
        <w:rPr>
          <w:iCs/>
          <w:i/>
        </w:rPr>
        <w:t xml:space="preserve">United Arab Emirates Abu Dhabi</w:t>
      </w:r>
      <w:r>
        <w:t xml:space="preserve"> </w:t>
      </w:r>
      <w:r>
        <w:t xml:space="preserve">is a multifaceted professional, navigating regulatory, cultural, and technological complexities to drive economic growth. As the emirate continues to evolve into a global financial powerhouse, the role of bankers will remain central to its success. This Master Thesis underscores the importance of adaptability, innovation, and ethical practice in shaping the future of banking in</w:t>
      </w:r>
      <w:r>
        <w:t xml:space="preserve"> </w:t>
      </w:r>
      <w:r>
        <w:rPr>
          <w:iCs/>
          <w:i/>
        </w:rPr>
        <w:t xml:space="preserve">United Arab Emirates Abu Dhabi</w:t>
      </w:r>
      <w:r>
        <w:t xml:space="preserve">. By understanding these dynamics, aspiring bankers can position themselves as key players in one of the world’s most dynamic financial ecosystems.</w:t>
      </w:r>
    </w:p>
    <w:p>
      <w:pPr>
        <w:pStyle w:val="BodyText"/>
      </w:pPr>
      <w:r>
        <w:rPr>
          <w:bCs/>
          <w:b/>
        </w:rPr>
        <w:t xml:space="preserve">References:</w:t>
      </w:r>
    </w:p>
    <w:p>
      <w:pPr>
        <w:numPr>
          <w:ilvl w:val="0"/>
          <w:numId w:val="1001"/>
        </w:numPr>
        <w:pStyle w:val="Compact"/>
      </w:pPr>
      <w:r>
        <w:t xml:space="preserve">Mubadala Investment Company Annual Report (2023)</w:t>
      </w:r>
    </w:p>
    <w:p>
      <w:pPr>
        <w:numPr>
          <w:ilvl w:val="0"/>
          <w:numId w:val="1001"/>
        </w:numPr>
        <w:pStyle w:val="Compact"/>
      </w:pPr>
      <w:r>
        <w:t xml:space="preserve">Central Bank of the United Arab Emirates (CBUAE) Regulatory Guidelines</w:t>
      </w:r>
    </w:p>
    <w:p>
      <w:pPr>
        <w:numPr>
          <w:ilvl w:val="0"/>
          <w:numId w:val="1001"/>
        </w:numPr>
        <w:pStyle w:val="Compact"/>
      </w:pPr>
      <w:r>
        <w:t xml:space="preserve">"Smart Abu Dhabi: A Vision for Financial Inclusion" – Abu Dhabi Government Publication</w:t>
      </w:r>
    </w:p>
    <w:p>
      <w:pPr>
        <w:pStyle w:val="FirstParagraph"/>
      </w:pPr>
      <w:r>
        <w:rPr>
          <w:iCs/>
          <w:i/>
        </w:rPr>
        <w:t xml:space="preserve">Note: This document is a sample structure and should be expanded with detailed data, interviews, and academic citations for a full Master Thesis.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United Arab Emirates Abu Dhabi</dc:title>
  <dc:creator/>
  <dc:language>en</dc:language>
  <cp:keywords/>
  <dcterms:created xsi:type="dcterms:W3CDTF">2026-07-21T03:24:54Z</dcterms:created>
  <dcterms:modified xsi:type="dcterms:W3CDTF">2026-07-21T03:24:54Z</dcterms:modified>
</cp:coreProperties>
</file>

<file path=docProps/custom.xml><?xml version="1.0" encoding="utf-8"?>
<Properties xmlns="http://schemas.openxmlformats.org/officeDocument/2006/custom-properties" xmlns:vt="http://schemas.openxmlformats.org/officeDocument/2006/docPropsVTypes"/>
</file>