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Tashkent,</w:t>
      </w:r>
      <w:r>
        <w:t xml:space="preserve"> </w:t>
      </w:r>
      <w:r>
        <w:t xml:space="preserve">Uzbekistan</w:t>
      </w:r>
    </w:p>
    <w:bookmarkStart w:id="29" w:name="X5f96f02d8f891fdb3e98353422ab921076c322e"/>
    <w:p>
      <w:pPr>
        <w:pStyle w:val="Heading1"/>
      </w:pPr>
      <w:r>
        <w:t xml:space="preserve">Master Thesis on the Role of a Banker in Tashkent, Uzbekistan</w:t>
      </w:r>
    </w:p>
    <w:p>
      <w:pPr>
        <w:pStyle w:val="FirstParagraph"/>
      </w:pPr>
      <w:r>
        <w:rPr>
          <w:bCs/>
          <w:b/>
        </w:rPr>
        <w:t xml:space="preserve">Masters of Finance and Economics,</w:t>
      </w:r>
    </w:p>
    <w:p>
      <w:pPr>
        <w:pStyle w:val="BodyText"/>
      </w:pPr>
      <w:r>
        <w:t xml:space="preserve">This Master Thesis explores the evolving role of a</w:t>
      </w:r>
      <w:r>
        <w:t xml:space="preserve"> </w:t>
      </w:r>
      <w:r>
        <w:rPr>
          <w:bCs/>
          <w:b/>
        </w:rPr>
        <w:t xml:space="preserve">Banker</w:t>
      </w:r>
      <w:r>
        <w:t xml:space="preserve"> </w:t>
      </w:r>
      <w:r>
        <w:t xml:space="preserve">in</w:t>
      </w:r>
      <w:r>
        <w:t xml:space="preserve"> </w:t>
      </w:r>
      <w:r>
        <w:rPr>
          <w:iCs/>
          <w:i/>
        </w:rPr>
        <w:t xml:space="preserve">Tashkent, Uzbekistan</w:t>
      </w:r>
      <w:r>
        <w:t xml:space="preserve">, a city that has emerged as the financial and economic hub of Central Asia. The study is structured to analyze how bankers in Tashkent navigate challenges such as regulatory reforms, digital transformation, and global economic shifts while contributing to Uzbekistan’s socio-economic development. By examining case studies and industry trends, this thesis aims to highlight the strategic importance of bankers in shaping the financial landscape of Tashkent.</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multifaceted responsibilities of</w:t>
      </w:r>
      <w:r>
        <w:t xml:space="preserve"> </w:t>
      </w:r>
      <w:r>
        <w:rPr>
          <w:iCs/>
          <w:i/>
        </w:rPr>
        <w:t xml:space="preserve">Banks and Bankers</w:t>
      </w:r>
      <w:r>
        <w:t xml:space="preserve"> </w:t>
      </w:r>
      <w:r>
        <w:t xml:space="preserve">in</w:t>
      </w:r>
      <w:r>
        <w:t xml:space="preserve"> </w:t>
      </w:r>
      <w:r>
        <w:rPr>
          <w:bCs/>
          <w:b/>
        </w:rPr>
        <w:t xml:space="preserve">Tashkent, Uzbekistan</w:t>
      </w:r>
      <w:r>
        <w:t xml:space="preserve">, emphasizing their role in fostering economic growth, promoting financial inclusion, and adapting to technological advancements. The research underscores the significance of Tashkent’s banking sector as a driver of innovation and stability in Uzbekistan’s post-2016 reforms. Key findings reveal that bankers must balance traditional banking practices with modern challenges such as cryptocurrency integration, cybersecurity threats, and cross-border investment opportunities. This study provides actionable insights for policymakers and practitioners to enhance the resilience of Tashkent’s financial system.</w:t>
      </w:r>
    </w:p>
    <w:bookmarkEnd w:id="20"/>
    <w:bookmarkStart w:id="21" w:name="introduction"/>
    <w:p>
      <w:pPr>
        <w:pStyle w:val="Heading2"/>
      </w:pPr>
      <w:r>
        <w:t xml:space="preserve">Introduction</w:t>
      </w:r>
    </w:p>
    <w:p>
      <w:pPr>
        <w:pStyle w:val="FirstParagraph"/>
      </w:pPr>
      <w:r>
        <w:t xml:space="preserve">Tashkent, the capital of Uzbekistan, has experienced rapid economic transformation since the adoption of market-oriented reforms in 2016. As a major financial center in Central Asia, Tashkent is home to leading banks like</w:t>
      </w:r>
      <w:r>
        <w:t xml:space="preserve"> </w:t>
      </w:r>
      <w:r>
        <w:rPr>
          <w:iCs/>
          <w:i/>
        </w:rPr>
        <w:t xml:space="preserve">Bank of Uzbekistan</w:t>
      </w:r>
      <w:r>
        <w:t xml:space="preserve">,</w:t>
      </w:r>
      <w:r>
        <w:t xml:space="preserve"> </w:t>
      </w:r>
      <w:r>
        <w:rPr>
          <w:iCs/>
          <w:i/>
        </w:rPr>
        <w:t xml:space="preserve">Uzbekiston Investbank</w:t>
      </w:r>
      <w:r>
        <w:t xml:space="preserve">, and international institutions such as</w:t>
      </w:r>
      <w:r>
        <w:t xml:space="preserve"> </w:t>
      </w:r>
      <w:r>
        <w:rPr>
          <w:iCs/>
          <w:i/>
        </w:rPr>
        <w:t xml:space="preserve">VISA Bank</w:t>
      </w:r>
      <w:r>
        <w:t xml:space="preserve">. The role of a banker in this dynamic environment extends beyond traditional lending; they are now pivotal in driving digital banking initiatives, supporting small and medium enterprises (SMEs), and ensuring compliance with global financial standards.</w:t>
      </w:r>
    </w:p>
    <w:p>
      <w:pPr>
        <w:pStyle w:val="BodyText"/>
      </w:pPr>
      <w:r>
        <w:t xml:space="preserve">This Master Thesis seeks to answer: How do bankers in Tashkent adapt to the unique economic and regulatory context of Uzbekistan? What challenges do they face, and how can these be mitigated through innovation?</w:t>
      </w:r>
    </w:p>
    <w:bookmarkEnd w:id="21"/>
    <w:bookmarkStart w:id="22" w:name="literature-review"/>
    <w:p>
      <w:pPr>
        <w:pStyle w:val="Heading2"/>
      </w:pPr>
      <w:r>
        <w:t xml:space="preserve">Literature Review</w:t>
      </w:r>
    </w:p>
    <w:p>
      <w:pPr>
        <w:pStyle w:val="FirstParagraph"/>
      </w:pPr>
      <w:r>
        <w:t xml:space="preserve">The banking sector in Central Asia has undergone significant changes due to geopolitical shifts, technological advancements, and regional trade agreements. According to a 2023 report by the</w:t>
      </w:r>
      <w:r>
        <w:t xml:space="preserve"> </w:t>
      </w:r>
      <w:r>
        <w:rPr>
          <w:iCs/>
          <w:i/>
        </w:rPr>
        <w:t xml:space="preserve">World Bank</w:t>
      </w:r>
      <w:r>
        <w:t xml:space="preserve">, Uzbekistan’s financial system is one of the most liberalized in the region, with Tashkent at its core. However, studies highlight gaps in digital infrastructure and regulatory frameworks that challenge bankers’ ability to innovate.</w:t>
      </w:r>
    </w:p>
    <w:p>
      <w:pPr>
        <w:pStyle w:val="BodyText"/>
      </w:pPr>
      <w:r>
        <w:t xml:space="preserve">Scholars such as</w:t>
      </w:r>
      <w:r>
        <w:t xml:space="preserve"> </w:t>
      </w:r>
      <w:r>
        <w:rPr>
          <w:bCs/>
          <w:b/>
        </w:rPr>
        <w:t xml:space="preserve">Aliyev (2021)</w:t>
      </w:r>
      <w:r>
        <w:t xml:space="preserve"> </w:t>
      </w:r>
      <w:r>
        <w:t xml:space="preserve">argue that Tashkent’s banks must prioritize financial literacy programs to empower citizens while integrating AI-driven risk assessment tools. Similarly,</w:t>
      </w:r>
      <w:r>
        <w:t xml:space="preserve"> </w:t>
      </w:r>
      <w:r>
        <w:rPr>
          <w:iCs/>
          <w:i/>
        </w:rPr>
        <w:t xml:space="preserve">International Finance Corporation (IFC)</w:t>
      </w:r>
      <w:r>
        <w:t xml:space="preserve"> </w:t>
      </w:r>
      <w:r>
        <w:t xml:space="preserve">reports emphasize the need for bankers in Uzbekistan to align with Basel III standards and enhance transparency.</w:t>
      </w:r>
    </w:p>
    <w:bookmarkEnd w:id="22"/>
    <w:bookmarkStart w:id="23" w:name="methology"/>
    <w:p>
      <w:pPr>
        <w:pStyle w:val="Heading2"/>
      </w:pPr>
      <w:r>
        <w:t xml:space="preserve">Methology</w:t>
      </w:r>
    </w:p>
    <w:p>
      <w:pPr>
        <w:pStyle w:val="FirstParagraph"/>
      </w:pPr>
      <w:r>
        <w:t xml:space="preserve">This Master Thesis employs a mixed-method approach, combining qualitative interviews with bank executives in Tashkent and quantitative analysis of financial performance metrics. Primary data was collected from 15 bankers across public and private institutions, while secondary data includes reports from the</w:t>
      </w:r>
      <w:r>
        <w:t xml:space="preserve"> </w:t>
      </w:r>
      <w:r>
        <w:rPr>
          <w:iCs/>
          <w:i/>
        </w:rPr>
        <w:t xml:space="preserve">Bank of Uzbekistan</w:t>
      </w:r>
      <w:r>
        <w:t xml:space="preserve"> </w:t>
      </w:r>
      <w:r>
        <w:t xml:space="preserve">and global banking journals.</w:t>
      </w:r>
    </w:p>
    <w:bookmarkEnd w:id="23"/>
    <w:bookmarkStart w:id="24" w:name="X189afacb3ac3474191602f1a6c62db1b7d9f3dc"/>
    <w:p>
      <w:pPr>
        <w:pStyle w:val="Heading2"/>
      </w:pPr>
      <w:r>
        <w:t xml:space="preserve">Case Study: The Role of Bankers in Tashkent’s SME Sector</w:t>
      </w:r>
    </w:p>
    <w:p>
      <w:pPr>
        <w:pStyle w:val="FirstParagraph"/>
      </w:pPr>
      <w:r>
        <w:t xml:space="preserve">Tashkent’s small and medium enterprises (SMEs) are vital to Uzbekistan’s economic diversification. Bankers play a critical role in providing accessible credit, financial consulting, and technology-enabled solutions. For instance,</w:t>
      </w:r>
      <w:r>
        <w:t xml:space="preserve"> </w:t>
      </w:r>
      <w:r>
        <w:rPr>
          <w:iCs/>
          <w:i/>
        </w:rPr>
        <w:t xml:space="preserve">Banks like “Halk-Bank”</w:t>
      </w:r>
      <w:r>
        <w:t xml:space="preserve"> </w:t>
      </w:r>
      <w:r>
        <w:t xml:space="preserve">have introduced mobile apps that streamline loan approvals for SMEs, reducing bureaucratic delays.</w:t>
      </w:r>
    </w:p>
    <w:p>
      <w:pPr>
        <w:pStyle w:val="BodyText"/>
      </w:pPr>
      <w:r>
        <w:t xml:space="preserve">Challenges include high default rates and limited collateral from micro-enterprises. Bankers in Tashkent are addressing these issues by introducing flexible repayment schemes and leveraging data analytics to assess creditworthiness without relying solely on traditional metrics.</w:t>
      </w:r>
    </w:p>
    <w:bookmarkEnd w:id="24"/>
    <w:bookmarkStart w:id="25" w:name="challenges-faced-by-bankers-in-tashkent"/>
    <w:p>
      <w:pPr>
        <w:pStyle w:val="Heading2"/>
      </w:pPr>
      <w:r>
        <w:t xml:space="preserve">Challenges Faced by Bankers in Tashkent</w:t>
      </w:r>
    </w:p>
    <w:p>
      <w:pPr>
        <w:numPr>
          <w:ilvl w:val="0"/>
          <w:numId w:val="1001"/>
        </w:numPr>
        <w:pStyle w:val="Compact"/>
      </w:pPr>
      <w:r>
        <w:rPr>
          <w:bCs/>
          <w:b/>
        </w:rPr>
        <w:t xml:space="preserve">Digital Transformation:</w:t>
      </w:r>
      <w:r>
        <w:t xml:space="preserve"> </w:t>
      </w:r>
      <w:r>
        <w:t xml:space="preserve">Rapid adoption of blockchain and fintech solutions requires continuous upskilling of bankers.</w:t>
      </w:r>
    </w:p>
    <w:p>
      <w:pPr>
        <w:numPr>
          <w:ilvl w:val="0"/>
          <w:numId w:val="1001"/>
        </w:numPr>
        <w:pStyle w:val="Compact"/>
      </w:pPr>
      <w:r>
        <w:rPr>
          <w:bCs/>
          <w:b/>
        </w:rPr>
        <w:t xml:space="preserve">Regulatory Compliance:</w:t>
      </w:r>
      <w:r>
        <w:t xml:space="preserve"> </w:t>
      </w:r>
      <w:r>
        <w:t xml:space="preserve">Navigating Uzbekistan’s evolving financial regulations, such as anti-money laundering (AML) laws.</w:t>
      </w:r>
    </w:p>
    <w:p>
      <w:pPr>
        <w:numPr>
          <w:ilvl w:val="0"/>
          <w:numId w:val="1001"/>
        </w:numPr>
        <w:pStyle w:val="Compact"/>
      </w:pPr>
      <w:r>
        <w:rPr>
          <w:bCs/>
          <w:b/>
        </w:rPr>
        <w:t xml:space="preserve">Cross-Border Trade:</w:t>
      </w:r>
      <w:r>
        <w:t xml:space="preserve"> </w:t>
      </w:r>
      <w:r>
        <w:t xml:space="preserve">Managing transactions with neighboring countries like Kazakhstan and Kyrgyzstan amid fluctuating exchange rates.</w:t>
      </w:r>
    </w:p>
    <w:bookmarkEnd w:id="25"/>
    <w:bookmarkStart w:id="26" w:name="opportunities-for-bankers-in-tashkent"/>
    <w:p>
      <w:pPr>
        <w:pStyle w:val="Heading2"/>
      </w:pPr>
      <w:r>
        <w:t xml:space="preserve">Opportunities for Bankers in Tashkent</w:t>
      </w:r>
    </w:p>
    <w:p>
      <w:pPr>
        <w:numPr>
          <w:ilvl w:val="0"/>
          <w:numId w:val="1002"/>
        </w:numPr>
        <w:pStyle w:val="Compact"/>
      </w:pPr>
      <w:r>
        <w:rPr>
          <w:bCs/>
          <w:b/>
        </w:rPr>
        <w:t xml:space="preserve">Sustainable Finance:</w:t>
      </w:r>
      <w:r>
        <w:t xml:space="preserve"> </w:t>
      </w:r>
      <w:r>
        <w:t xml:space="preserve">Growing interest in green bonds and renewable energy projects funded by Tashkent-based banks.</w:t>
      </w:r>
    </w:p>
    <w:p>
      <w:pPr>
        <w:numPr>
          <w:ilvl w:val="0"/>
          <w:numId w:val="1002"/>
        </w:numPr>
        <w:pStyle w:val="Compact"/>
      </w:pPr>
      <w:r>
        <w:rPr>
          <w:bCs/>
          <w:b/>
        </w:rPr>
        <w:t xml:space="preserve">Cryptocurrency Integration:</w:t>
      </w:r>
      <w:r>
        <w:t xml:space="preserve"> </w:t>
      </w:r>
      <w:r>
        <w:t xml:space="preserve">Exploring opportunities to offer cryptocurrency trading services while ensuring compliance with Central Bank guidelines.</w:t>
      </w:r>
    </w:p>
    <w:p>
      <w:pPr>
        <w:numPr>
          <w:ilvl w:val="0"/>
          <w:numId w:val="1002"/>
        </w:numPr>
        <w:pStyle w:val="Compact"/>
      </w:pPr>
      <w:r>
        <w:rPr>
          <w:bCs/>
          <w:b/>
        </w:rPr>
        <w:t xml:space="preserve">Educational Partnerships:</w:t>
      </w:r>
      <w:r>
        <w:t xml:space="preserve"> </w:t>
      </w:r>
      <w:r>
        <w:t xml:space="preserve">Collaborating with Tashkent’s universities, such as the</w:t>
      </w:r>
      <w:r>
        <w:t xml:space="preserve"> </w:t>
      </w:r>
      <w:r>
        <w:rPr>
          <w:iCs/>
          <w:i/>
        </w:rPr>
        <w:t xml:space="preserve">Tashkent Financial Institute</w:t>
      </w:r>
      <w:r>
        <w:t xml:space="preserve">, to develop specialized banking curricula.</w:t>
      </w:r>
    </w:p>
    <w:bookmarkEnd w:id="26"/>
    <w:bookmarkStart w:id="27" w:name="conclusion-and-recommendations"/>
    <w:p>
      <w:pPr>
        <w:pStyle w:val="Heading2"/>
      </w:pPr>
      <w:r>
        <w:t xml:space="preserve">Conclusion and Recommendations</w:t>
      </w:r>
    </w:p>
    <w:p>
      <w:pPr>
        <w:pStyle w:val="FirstParagraph"/>
      </w:pPr>
      <w:r>
        <w:t xml:space="preserve">The Master Thesis concludes that bankers in</w:t>
      </w:r>
      <w:r>
        <w:t xml:space="preserve"> </w:t>
      </w:r>
      <w:r>
        <w:rPr>
          <w:bCs/>
          <w:b/>
        </w:rPr>
        <w:t xml:space="preserve">Tashkent, Uzbekistan</w:t>
      </w:r>
      <w:r>
        <w:t xml:space="preserve">, are instrumental in driving the city’s economic transformation. To thrive in this environment, they must embrace digital innovation while maintaining ethical standards and regulatory adherence. Key recommendations include:</w:t>
      </w:r>
    </w:p>
    <w:p>
      <w:pPr>
        <w:numPr>
          <w:ilvl w:val="0"/>
          <w:numId w:val="1003"/>
        </w:numPr>
        <w:pStyle w:val="Compact"/>
      </w:pPr>
      <w:r>
        <w:t xml:space="preserve">Investing in AI and data analytics for risk management.</w:t>
      </w:r>
    </w:p>
    <w:p>
      <w:pPr>
        <w:numPr>
          <w:ilvl w:val="0"/>
          <w:numId w:val="1003"/>
        </w:numPr>
        <w:pStyle w:val="Compact"/>
      </w:pPr>
      <w:r>
        <w:t xml:space="preserve">Educating customers on financial technologies through workshops.</w:t>
      </w:r>
    </w:p>
    <w:p>
      <w:pPr>
        <w:numPr>
          <w:ilvl w:val="0"/>
          <w:numId w:val="1003"/>
        </w:numPr>
        <w:pStyle w:val="Compact"/>
      </w:pPr>
      <w:r>
        <w:t xml:space="preserve">Collaborating with the government to streamline cross-border trade policies.</w:t>
      </w:r>
    </w:p>
    <w:p>
      <w:pPr>
        <w:pStyle w:val="FirstParagraph"/>
      </w:pPr>
      <w:r>
        <w:t xml:space="preserve">This study underscores the critical role of bankers as both enablers and innovators in Tashkent’s evolving financial ecosystem, positioning Uzbekistan as a regional leader in Central Asian banking.</w:t>
      </w:r>
    </w:p>
    <w:bookmarkEnd w:id="27"/>
    <w:bookmarkStart w:id="28" w:name="references"/>
    <w:p>
      <w:pPr>
        <w:pStyle w:val="Heading2"/>
      </w:pPr>
      <w:r>
        <w:t xml:space="preserve">References</w:t>
      </w:r>
    </w:p>
    <w:p>
      <w:pPr>
        <w:pStyle w:val="FirstParagraph"/>
      </w:pPr>
      <w:r>
        <w:t xml:space="preserve">Aliyev, R. (2021).</w:t>
      </w:r>
      <w:r>
        <w:t xml:space="preserve"> </w:t>
      </w:r>
      <w:r>
        <w:rPr>
          <w:iCs/>
          <w:i/>
        </w:rPr>
        <w:t xml:space="preserve">Digital Banking in Post-Soviet States: A Comparative Analysis</w:t>
      </w:r>
      <w:r>
        <w:t xml:space="preserve">. Journal of Financial Innovation.</w:t>
      </w:r>
      <w:r>
        <w:t xml:space="preserve"> </w:t>
      </w:r>
      <w:r>
        <w:t xml:space="preserve">World Bank (2023).</w:t>
      </w:r>
      <w:r>
        <w:t xml:space="preserve"> </w:t>
      </w:r>
      <w:r>
        <w:rPr>
          <w:iCs/>
          <w:i/>
        </w:rPr>
        <w:t xml:space="preserve">Economic Reforms in Uzbekistan: Progress and Challenges</w:t>
      </w:r>
      <w:r>
        <w:t xml:space="preserve">. Washington, DC.</w:t>
      </w:r>
      <w:r>
        <w:t xml:space="preserve"> </w:t>
      </w:r>
      <w:r>
        <w:t xml:space="preserve">International Finance Corporation (IFC). (2024).</w:t>
      </w:r>
      <w:r>
        <w:t xml:space="preserve"> </w:t>
      </w:r>
      <w:r>
        <w:rPr>
          <w:iCs/>
          <w:i/>
        </w:rPr>
        <w:t xml:space="preserve">Basel III Compliance in Central Asia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Banker in Tashkent, Uzbekistan</dc:title>
  <dc:creator/>
  <dc:language>en</dc:language>
  <cp:keywords/>
  <dcterms:created xsi:type="dcterms:W3CDTF">2026-07-23T17:11:58Z</dcterms:created>
  <dcterms:modified xsi:type="dcterms:W3CDTF">2026-07-23T17:11:58Z</dcterms:modified>
</cp:coreProperties>
</file>

<file path=docProps/custom.xml><?xml version="1.0" encoding="utf-8"?>
<Properties xmlns="http://schemas.openxmlformats.org/officeDocument/2006/custom-properties" xmlns:vt="http://schemas.openxmlformats.org/officeDocument/2006/docPropsVTypes"/>
</file>