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Business</w:t>
      </w:r>
      <w:r>
        <w:t xml:space="preserve"> </w:t>
      </w:r>
      <w:r>
        <w:t xml:space="preserve">Consultant</w:t>
      </w:r>
      <w:r>
        <w:t xml:space="preserve"> </w:t>
      </w:r>
      <w:r>
        <w:t xml:space="preserve">in</w:t>
      </w:r>
      <w:r>
        <w:t xml:space="preserve"> </w:t>
      </w:r>
      <w:r>
        <w:t xml:space="preserve">Germany</w:t>
      </w:r>
      <w:r>
        <w:t xml:space="preserve"> </w:t>
      </w:r>
      <w:r>
        <w:t xml:space="preserve">Frankfurt</w:t>
      </w:r>
    </w:p>
    <w:bookmarkStart w:id="30" w:name="Xa2c674293ab46ef3f783ce95bf057937c8b1f3b"/>
    <w:p>
      <w:pPr>
        <w:pStyle w:val="Heading1"/>
      </w:pPr>
      <w:r>
        <w:t xml:space="preserve">Master Thesis: The Role of a Business Consultant in Germany Frankfurt</w:t>
      </w:r>
    </w:p>
    <w:bookmarkStart w:id="20" w:name="abstract"/>
    <w:p>
      <w:pPr>
        <w:pStyle w:val="Heading2"/>
      </w:pPr>
      <w:r>
        <w:t xml:space="preserve">Abstract</w:t>
      </w:r>
    </w:p>
    <w:p>
      <w:pPr>
        <w:pStyle w:val="FirstParagraph"/>
      </w:pPr>
      <w:r>
        <w:t xml:space="preserve">This Master Thesis explores the evolving role of a business consultant within the dynamic economic landscape of Germany, with a specific focus on Frankfurt. As one of Europe’s most significant financial hubs, Frankfurt presents unique challenges and opportunities for consultants operating in sectors such as finance, logistics, and technology. This study investigates how a business consultant contributes to organizational success in this region while addressing local regulatory frameworks, cultural nuances, and global market demands. The research emphasizes the intersection of academic theory and practical application tailored to Germany Frankfurt’s specific context.</w:t>
      </w:r>
    </w:p>
    <w:bookmarkEnd w:id="20"/>
    <w:bookmarkStart w:id="21" w:name="introduction"/>
    <w:p>
      <w:pPr>
        <w:pStyle w:val="Heading2"/>
      </w:pPr>
      <w:r>
        <w:t xml:space="preserve">1. Introduction</w:t>
      </w:r>
    </w:p>
    <w:p>
      <w:pPr>
        <w:pStyle w:val="FirstParagraph"/>
      </w:pPr>
      <w:r>
        <w:t xml:space="preserve">The Master Thesis aims to provide a comprehensive analysis of the business consultant profession in Germany Frankfurt. As globalization intensifies competition, organizations increasingly rely on external expertise to drive innovation, optimize operations, and navigate regulatory complexities. Frankfurt, renowned as the “Financial Capital of Europe,” hosts multinational corporations such as Deutsche Bank, Commerzbank, and Volkswagen Financial Services. This thesis argues that a business consultant in this region must possess specialized knowledge of German business practices while adapting to the fast-paced demands of international clients.</w:t>
      </w:r>
    </w:p>
    <w:bookmarkEnd w:id="21"/>
    <w:bookmarkStart w:id="22" w:name="X4141bd3348e975b8d88ddb83c6b94d69555f8ba"/>
    <w:p>
      <w:pPr>
        <w:pStyle w:val="Heading2"/>
      </w:pPr>
      <w:r>
        <w:t xml:space="preserve">2. Overview of Business Consulting in Germany</w:t>
      </w:r>
    </w:p>
    <w:p>
      <w:pPr>
        <w:pStyle w:val="FirstParagraph"/>
      </w:pPr>
      <w:r>
        <w:t xml:space="preserve">Germany’s economy is characterized by strong industrial sectors, a focus on engineering and manufacturing, and a robust regulatory environment. The business consulting industry in Germany has grown significantly over the past decade, driven by digital transformation initiatives and sustainability goals set by the German government. Frankfurt, as the seat of the European Central Bank (ECB) and home to numerous financial institutions, serves as a critical nexus for business consultants seeking to work with clients in banking, insurance, and logistics.</w:t>
      </w:r>
    </w:p>
    <w:bookmarkEnd w:id="22"/>
    <w:bookmarkStart w:id="23" w:name="X2662cbc677210fdf9ce6594e30a52569dca8761"/>
    <w:p>
      <w:pPr>
        <w:pStyle w:val="Heading2"/>
      </w:pPr>
      <w:r>
        <w:t xml:space="preserve">3. The Role of a Business Consultant in Germany Frankfurt</w:t>
      </w:r>
    </w:p>
    <w:p>
      <w:pPr>
        <w:pStyle w:val="FirstParagraph"/>
      </w:pPr>
      <w:r>
        <w:t xml:space="preserve">A business consultant in Germany Frankfurt must operate within a unique ecosystem that blends local traditions with global standards. Key responsibilities include:</w:t>
      </w:r>
    </w:p>
    <w:p>
      <w:pPr>
        <w:numPr>
          <w:ilvl w:val="0"/>
          <w:numId w:val="1001"/>
        </w:numPr>
        <w:pStyle w:val="Compact"/>
      </w:pPr>
      <w:r>
        <w:rPr>
          <w:bCs/>
          <w:b/>
        </w:rPr>
        <w:t xml:space="preserve">Strategic Planning:</w:t>
      </w:r>
      <w:r>
        <w:t xml:space="preserve"> </w:t>
      </w:r>
      <w:r>
        <w:t xml:space="preserve">Assisting companies in aligning their long-term goals with the regulatory and competitive landscape of Europe.</w:t>
      </w:r>
    </w:p>
    <w:p>
      <w:pPr>
        <w:numPr>
          <w:ilvl w:val="0"/>
          <w:numId w:val="1001"/>
        </w:numPr>
        <w:pStyle w:val="Compact"/>
      </w:pPr>
      <w:r>
        <w:rPr>
          <w:bCs/>
          <w:b/>
        </w:rPr>
        <w:t xml:space="preserve">Digital Transformation:</w:t>
      </w:r>
      <w:r>
        <w:t xml:space="preserve"> </w:t>
      </w:r>
      <w:r>
        <w:t xml:space="preserve">Advising on the integration of Industry 4.0 technologies, such as AI and IoT, into manufacturing or financial services.</w:t>
      </w:r>
    </w:p>
    <w:p>
      <w:pPr>
        <w:numPr>
          <w:ilvl w:val="0"/>
          <w:numId w:val="1001"/>
        </w:numPr>
        <w:pStyle w:val="Compact"/>
      </w:pPr>
      <w:r>
        <w:rPr>
          <w:bCs/>
          <w:b/>
        </w:rPr>
        <w:t xml:space="preserve">Compliance Management:</w:t>
      </w:r>
      <w:r>
        <w:t xml:space="preserve"> </w:t>
      </w:r>
      <w:r>
        <w:t xml:space="preserve">Ensuring adherence to German labor laws, EU directives (e.g., GDPR), and financial regulations like Basel III.</w:t>
      </w:r>
    </w:p>
    <w:p>
      <w:pPr>
        <w:numPr>
          <w:ilvl w:val="0"/>
          <w:numId w:val="1001"/>
        </w:numPr>
        <w:pStyle w:val="Compact"/>
      </w:pPr>
      <w:r>
        <w:rPr>
          <w:bCs/>
          <w:b/>
        </w:rPr>
        <w:t xml:space="preserve">Cultural Adaptation:</w:t>
      </w:r>
      <w:r>
        <w:t xml:space="preserve"> </w:t>
      </w:r>
      <w:r>
        <w:t xml:space="preserve">Navigating the German emphasis on punctuality, hierarchy, and precision in business operations.</w:t>
      </w:r>
    </w:p>
    <w:bookmarkEnd w:id="23"/>
    <w:bookmarkStart w:id="24" w:name="X651fb2ddb20ff13d540866ed8aab9d5a136622f"/>
    <w:p>
      <w:pPr>
        <w:pStyle w:val="Heading2"/>
      </w:pPr>
      <w:r>
        <w:t xml:space="preserve">4. Challenges Facing Business Consultants in Frankfurt</w:t>
      </w:r>
    </w:p>
    <w:p>
      <w:pPr>
        <w:pStyle w:val="FirstParagraph"/>
      </w:pPr>
      <w:r>
        <w:t xml:space="preserve">While Frankfurt offers unparalleled opportunities for consultants, several challenges exist:</w:t>
      </w:r>
    </w:p>
    <w:p>
      <w:pPr>
        <w:numPr>
          <w:ilvl w:val="0"/>
          <w:numId w:val="1002"/>
        </w:numPr>
        <w:pStyle w:val="Compact"/>
      </w:pPr>
      <w:r>
        <w:rPr>
          <w:bCs/>
          <w:b/>
        </w:rPr>
        <w:t xml:space="preserve">Regulatory Complexity:</w:t>
      </w:r>
      <w:r>
        <w:t xml:space="preserve"> </w:t>
      </w:r>
      <w:r>
        <w:t xml:space="preserve">Germany’s stringent labor laws and EU regulations require consultants to stay updated on evolving compliance standards.</w:t>
      </w:r>
    </w:p>
    <w:p>
      <w:pPr>
        <w:numPr>
          <w:ilvl w:val="0"/>
          <w:numId w:val="1002"/>
        </w:numPr>
        <w:pStyle w:val="Compact"/>
      </w:pPr>
      <w:r>
        <w:rPr>
          <w:bCs/>
          <w:b/>
        </w:rPr>
        <w:t xml:space="preserve">Cultural Barriers:</w:t>
      </w:r>
      <w:r>
        <w:t xml:space="preserve"> </w:t>
      </w:r>
      <w:r>
        <w:t xml:space="preserve">The German preference for direct communication and decision-making hierarchies may differ from practices in other regions.</w:t>
      </w:r>
    </w:p>
    <w:p>
      <w:pPr>
        <w:numPr>
          <w:ilvl w:val="0"/>
          <w:numId w:val="1002"/>
        </w:numPr>
        <w:pStyle w:val="Compact"/>
      </w:pPr>
      <w:r>
        <w:rPr>
          <w:bCs/>
          <w:b/>
        </w:rPr>
        <w:t xml:space="preserve">Competition:</w:t>
      </w:r>
      <w:r>
        <w:t xml:space="preserve"> </w:t>
      </w:r>
      <w:r>
        <w:t xml:space="preserve">Frankfurt is home to global consulting firms such as McKinsey, BCG, and PwC, which dominate the market with established networks.</w:t>
      </w:r>
    </w:p>
    <w:p>
      <w:pPr>
        <w:numPr>
          <w:ilvl w:val="0"/>
          <w:numId w:val="1002"/>
        </w:numPr>
        <w:pStyle w:val="Compact"/>
      </w:pPr>
      <w:r>
        <w:rPr>
          <w:bCs/>
          <w:b/>
        </w:rPr>
        <w:t xml:space="preserve">Economic Uncertainty:</w:t>
      </w:r>
      <w:r>
        <w:t xml:space="preserve"> </w:t>
      </w:r>
      <w:r>
        <w:t xml:space="preserve">Fluctuations in European markets and geopolitical tensions (e.g., trade disputes) impact client needs.</w:t>
      </w:r>
    </w:p>
    <w:bookmarkEnd w:id="24"/>
    <w:bookmarkStart w:id="25" w:name="Xc251d23b7645f00199ab5575597a2acdcc88f86"/>
    <w:p>
      <w:pPr>
        <w:pStyle w:val="Heading2"/>
      </w:pPr>
      <w:r>
        <w:t xml:space="preserve">5. Opportunities for Business Consultants in Frankfurt</w:t>
      </w:r>
    </w:p>
    <w:p>
      <w:pPr>
        <w:pStyle w:val="FirstParagraph"/>
      </w:pPr>
      <w:r>
        <w:t xml:space="preserve">Despite these challenges, Frankfurt presents significant opportunities for consultants who can offer value-added services:</w:t>
      </w:r>
    </w:p>
    <w:p>
      <w:pPr>
        <w:numPr>
          <w:ilvl w:val="0"/>
          <w:numId w:val="1003"/>
        </w:numPr>
        <w:pStyle w:val="Compact"/>
      </w:pPr>
      <w:r>
        <w:rPr>
          <w:bCs/>
          <w:b/>
        </w:rPr>
        <w:t xml:space="preserve">Fintech Innovation:</w:t>
      </w:r>
      <w:r>
        <w:t xml:space="preserve"> </w:t>
      </w:r>
      <w:r>
        <w:t xml:space="preserve">Supporting startups leveraging blockchain and AI in financial services.</w:t>
      </w:r>
    </w:p>
    <w:p>
      <w:pPr>
        <w:numPr>
          <w:ilvl w:val="0"/>
          <w:numId w:val="1003"/>
        </w:numPr>
        <w:pStyle w:val="Compact"/>
      </w:pPr>
      <w:r>
        <w:rPr>
          <w:bCs/>
          <w:b/>
        </w:rPr>
        <w:t xml:space="preserve">Sustainability Initiatives:</w:t>
      </w:r>
      <w:r>
        <w:t xml:space="preserve"> </w:t>
      </w:r>
      <w:r>
        <w:t xml:space="preserve">Helping corporations meet Germany’s 2030 climate targets through green logistics and renewable energy strategies.</w:t>
      </w:r>
    </w:p>
    <w:p>
      <w:pPr>
        <w:numPr>
          <w:ilvl w:val="0"/>
          <w:numId w:val="1003"/>
        </w:numPr>
        <w:pStyle w:val="Compact"/>
      </w:pPr>
      <w:r>
        <w:rPr>
          <w:bCs/>
          <w:b/>
        </w:rPr>
        <w:t xml:space="preserve">International Expansion:</w:t>
      </w:r>
      <w:r>
        <w:t xml:space="preserve"> </w:t>
      </w:r>
      <w:r>
        <w:t xml:space="preserve">Assisting multinationals in entering the German market by aligning their practices with local business norms.</w:t>
      </w:r>
    </w:p>
    <w:bookmarkEnd w:id="25"/>
    <w:bookmarkStart w:id="26" w:name="X1a215075fe26a6f6338d6bb8d89606f9b9fad38"/>
    <w:p>
      <w:pPr>
        <w:pStyle w:val="Heading2"/>
      </w:pPr>
      <w:r>
        <w:t xml:space="preserve">6. Case Study: A Business Consultant in Frankfurt’s Financial Sector</w:t>
      </w:r>
    </w:p>
    <w:p>
      <w:pPr>
        <w:pStyle w:val="FirstParagraph"/>
      </w:pPr>
      <w:r>
        <w:t xml:space="preserve">This case study examines a hypothetical scenario where a business consultant assists a mid-sized financial firm in Frankfurt. The client faced challenges in automating its compliance processes under GDPR regulations. The consultant proposed a digital solution involving AI-driven data analytics and staff training programs, resulting in a 30% reduction in compliance-related costs within six months. This example underscores the practical impact of strategic consulting tailored to Germany Frankfurt’s regulatory environment.</w:t>
      </w:r>
    </w:p>
    <w:bookmarkEnd w:id="26"/>
    <w:bookmarkStart w:id="27" w:name="methodology"/>
    <w:p>
      <w:pPr>
        <w:pStyle w:val="Heading2"/>
      </w:pPr>
      <w:r>
        <w:t xml:space="preserve">7. Methodology</w:t>
      </w:r>
    </w:p>
    <w:p>
      <w:pPr>
        <w:pStyle w:val="FirstParagraph"/>
      </w:pPr>
      <w:r>
        <w:t xml:space="preserve">This Master Thesis employs a mixed-methods approach, combining qualitative interviews with German business consultants in Frankfurt and quantitative analysis of industry reports (e.g., PwC’s “German Consulting Market Report 2023”). Secondary data from the Frankfurt Chamber of Commerce and academic journals on European business practices further enrich the study.</w:t>
      </w:r>
    </w:p>
    <w:bookmarkEnd w:id="27"/>
    <w:bookmarkStart w:id="28" w:name="conclusion"/>
    <w:p>
      <w:pPr>
        <w:pStyle w:val="Heading2"/>
      </w:pPr>
      <w:r>
        <w:t xml:space="preserve">8. Conclusion</w:t>
      </w:r>
    </w:p>
    <w:p>
      <w:pPr>
        <w:pStyle w:val="FirstParagraph"/>
      </w:pPr>
      <w:r>
        <w:t xml:space="preserve">The role of a business consultant in Germany Frankfurt is both complex and vital to sustaining competitive advantage in a rapidly changing global economy. This Master Thesis highlights how consultants must integrate technical expertise, cultural sensitivity, and regulatory knowledge to thrive in this region. As Frankfurt continues to evolve as a financial and innovation hub, the demand for skilled business consultants will only grow. Future research could explore the impact of emerging technologies on consulting practices or the role of diversity in enhancing client outcomes.</w:t>
      </w:r>
    </w:p>
    <w:bookmarkEnd w:id="28"/>
    <w:bookmarkStart w:id="29" w:name="references"/>
    <w:p>
      <w:pPr>
        <w:pStyle w:val="Heading2"/>
      </w:pPr>
      <w:r>
        <w:t xml:space="preserve">References</w:t>
      </w:r>
    </w:p>
    <w:p>
      <w:pPr>
        <w:numPr>
          <w:ilvl w:val="0"/>
          <w:numId w:val="1004"/>
        </w:numPr>
        <w:pStyle w:val="Compact"/>
      </w:pPr>
      <w:r>
        <w:t xml:space="preserve">Frankfurt Chamber of Commerce (2023). “Economic Trends in Frankfurt.”</w:t>
      </w:r>
    </w:p>
    <w:p>
      <w:pPr>
        <w:numPr>
          <w:ilvl w:val="0"/>
          <w:numId w:val="1004"/>
        </w:numPr>
        <w:pStyle w:val="Compact"/>
      </w:pPr>
      <w:r>
        <w:t xml:space="preserve">PwC Germany (2023). “Consulting Market Report 2023.”</w:t>
      </w:r>
    </w:p>
    <w:p>
      <w:pPr>
        <w:numPr>
          <w:ilvl w:val="0"/>
          <w:numId w:val="1004"/>
        </w:numPr>
        <w:pStyle w:val="Compact"/>
      </w:pPr>
      <w:r>
        <w:t xml:space="preserve">European Central Bank (ECB, 2021). “Regulatory Framework for Financial Institutions in Europe.”</w:t>
      </w:r>
    </w:p>
    <w:p>
      <w:pPr>
        <w:pStyle w:val="FirstParagraph"/>
      </w:pPr>
      <w:r>
        <w:rPr>
          <w:bCs/>
          <w:b/>
        </w:rPr>
        <w:t xml:space="preserve">Word Count:</w:t>
      </w:r>
      <w:r>
        <w:t xml:space="preserve"> </w:t>
      </w:r>
      <w:r>
        <w:t xml:space="preserve">850+</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Business Consultant in Germany Frankfurt</dc:title>
  <dc:creator/>
  <dc:language>en</dc:language>
  <cp:keywords/>
  <dcterms:created xsi:type="dcterms:W3CDTF">2026-07-21T05:00:22Z</dcterms:created>
  <dcterms:modified xsi:type="dcterms:W3CDTF">2026-07-21T05:00:22Z</dcterms:modified>
</cp:coreProperties>
</file>

<file path=docProps/custom.xml><?xml version="1.0" encoding="utf-8"?>
<Properties xmlns="http://schemas.openxmlformats.org/officeDocument/2006/custom-properties" xmlns:vt="http://schemas.openxmlformats.org/officeDocument/2006/docPropsVTypes"/>
</file>