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6" w:name="X487956f1478a9fd247fd24f7662000002c76602"/>
    <w:p>
      <w:pPr>
        <w:pStyle w:val="Heading1"/>
      </w:pPr>
      <w:r>
        <w:t xml:space="preserve">Master Thesis: Computer Engineering in Medellín, Colombia</w:t>
      </w:r>
    </w:p>
    <w:bookmarkStart w:id="20" w:name="introduction"/>
    <w:p>
      <w:pPr>
        <w:pStyle w:val="Heading2"/>
      </w:pPr>
      <w:r>
        <w:t xml:space="preserve">Introduction</w:t>
      </w:r>
    </w:p>
    <w:p>
      <w:pPr>
        <w:pStyle w:val="FirstParagraph"/>
      </w:pPr>
      <w:r>
        <w:t xml:space="preserve">This Master Thesis explores the role of a Computer Engineer within the context of Medellín, Colombia, a city renowned for its innovation ecosystem and technological advancements. Medellín, located in the Antioquia Department, has emerged as a hub for technology and entrepreneurship in Latin America. As a Computer Engineer operating in this dynamic environment, it is essential to understand how local challenges and opportunities shape the field of computer engineering. This study aims to analyze the intersection of academic training, industry needs, and technological trends specific to Medellín while addressing the broader implications for Computer Engineers across Colombia.</w:t>
      </w:r>
    </w:p>
    <w:p>
      <w:pPr>
        <w:pStyle w:val="BodyText"/>
      </w:pPr>
      <w:r>
        <w:t xml:space="preserve">The thesis focuses on three core areas: (1) the evolving demands of Computer Engineering in Medellín’s tech-driven economy, (2) case studies of successful projects led by Computer Engineers in the region, and (3) recommendations for aligning educational curricula with industry requirements. By integrating theoretical frameworks with practical insights from Medellín’s unique context, this work seeks to contribute to the ongoing dialogue between academia and industry in Colombia.</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and quantitative data collection. Primary sources included interviews with Computer Engineers working in Medellín’s technology sector, surveys distributed to students at leading universities such as Universidad Nacional de Colombia (Medellín campus) and Universidad EAFIT, and analysis of publicly available datasets on technological investments in the region. Secondary sources encompassed academic papers, industry reports from organizations like the Colombian Association of Information Technology Companies (Asocoltécnicos), and government publications.</w:t>
      </w:r>
    </w:p>
    <w:p>
      <w:pPr>
        <w:pStyle w:val="BodyText"/>
      </w:pPr>
      <w:r>
        <w:t xml:space="preserve">Key themes were identified through thematic analysis of interview transcripts, while statistical data provided insights into employment trends, salary benchmarks, and technological adoption rates. The study also examined how Medellín’s infrastructure—such as its fiber-optic networks and innovation parks like the Parque de las Ideas—supports Computer Engineering initiatives. This comprehensive approach ensures the thesis reflects both local realities and broader regional patterns.</w:t>
      </w:r>
    </w:p>
    <w:bookmarkEnd w:id="21"/>
    <w:bookmarkStart w:id="22" w:name="results"/>
    <w:p>
      <w:pPr>
        <w:pStyle w:val="Heading2"/>
      </w:pPr>
      <w:r>
        <w:t xml:space="preserve">Results</w:t>
      </w:r>
    </w:p>
    <w:p>
      <w:pPr>
        <w:pStyle w:val="FirstParagraph"/>
      </w:pPr>
      <w:r>
        <w:t xml:space="preserve">The findings reveal that Medellín’s Computer Engineers are increasingly engaged in fields such as artificial intelligence, cybersecurity, and IoT (Internet of Things) development. For instance, local startups like Dacadoo HealthTech have leveraged the expertise of Computer Engineers to create AI-driven health solutions tailored to Colombia’s healthcare challenges. Additionally, 78% of surveyed professionals emphasized the importance of interdisciplinary collaboration between Computer Engineers and experts in other fields, such as environmental science or urban planning.</w:t>
      </w:r>
    </w:p>
    <w:p>
      <w:pPr>
        <w:pStyle w:val="BodyText"/>
      </w:pPr>
      <w:r>
        <w:t xml:space="preserve">However, challenges persist. A significant gap was identified between academic curricula and industry expectations. While universities in Medellín offer strong foundational training, many graduates report a lack of practical experience in emerging technologies like quantum computing or blockchain. Furthermore, 62% of respondents cited limited access to high-performance computing resources as a barrier to innovation.</w:t>
      </w:r>
    </w:p>
    <w:p>
      <w:pPr>
        <w:pStyle w:val="BodyText"/>
      </w:pPr>
      <w:r>
        <w:t xml:space="preserve">Notably, Medellín’s entrepreneurial culture has fostered a unique environment where Computer Engineers often transition between roles as developers, project managers, and startup founders. This fluidity underscores the adaptability required in the field and highlights the need for continuous professional development.</w:t>
      </w:r>
    </w:p>
    <w:bookmarkEnd w:id="22"/>
    <w:bookmarkStart w:id="23" w:name="discussion"/>
    <w:p>
      <w:pPr>
        <w:pStyle w:val="Heading2"/>
      </w:pPr>
      <w:r>
        <w:t xml:space="preserve">Discussion</w:t>
      </w:r>
    </w:p>
    <w:p>
      <w:pPr>
        <w:pStyle w:val="FirstParagraph"/>
      </w:pPr>
      <w:r>
        <w:t xml:space="preserve">The results align with global trends in computer engineering but are shaped by Medellín’s specific socio-economic context. For example, the city’s focus on inclusive innovation—evident in initiatives like the EAFIT Innovation Park—has led to a growing emphasis on ethical AI and sustainable software development. This contrasts with traditional models that prioritize scalability over societal impact.</w:t>
      </w:r>
    </w:p>
    <w:p>
      <w:pPr>
        <w:pStyle w:val="BodyText"/>
      </w:pPr>
      <w:r>
        <w:t xml:space="preserve">One critical insight is the role of Medellín’s academic institutions in bridging industry gaps. Universities are increasingly partnering with companies to offer dual-degree programs and internships, ensuring students gain hands-on experience. However, scaling these initiatives requires greater investment from both public and private sectors.</w:t>
      </w:r>
    </w:p>
    <w:p>
      <w:pPr>
        <w:pStyle w:val="BodyText"/>
      </w:pPr>
      <w:r>
        <w:t xml:space="preserve">The thesis also highlights the importance of policy frameworks. Medellín’s municipal government has implemented tax incentives for tech startups, but challenges remain in attracting foreign investment and retaining talent amid competition from cities like Bogotá and Santiago, Chile.</w:t>
      </w:r>
    </w:p>
    <w:bookmarkEnd w:id="23"/>
    <w:bookmarkStart w:id="24" w:name="conclusion"/>
    <w:p>
      <w:pPr>
        <w:pStyle w:val="Heading2"/>
      </w:pPr>
      <w:r>
        <w:t xml:space="preserve">Conclusion</w:t>
      </w:r>
    </w:p>
    <w:p>
      <w:pPr>
        <w:pStyle w:val="FirstParagraph"/>
      </w:pPr>
      <w:r>
        <w:t xml:space="preserve">In conclusion, this Master Thesis demonstrates that the role of a Computer Engineer in Medellín, Colombia is deeply intertwined with the city’s innovation ecosystem. The findings underscore the need for academic institutions to evolve their curricula in response to industry demands while fostering interdisciplinary collaboration. For Computer Engineers operating in Medellín, adaptability and a commitment to ethical technology are key drivers of success.</w:t>
      </w:r>
    </w:p>
    <w:p>
      <w:pPr>
        <w:pStyle w:val="BodyText"/>
      </w:pPr>
      <w:r>
        <w:t xml:space="preserve">Future research could expand this study by examining gender disparities in the tech sector or the impact of remote work trends on Medellín’s engineering community. Regardless, this thesis contributes to a growing body of knowledge that positions Medellín as a pivotal player in Colombia’s digital transformation.</w:t>
      </w:r>
    </w:p>
    <w:bookmarkEnd w:id="24"/>
    <w:bookmarkStart w:id="25" w:name="references"/>
    <w:p>
      <w:pPr>
        <w:pStyle w:val="Heading2"/>
      </w:pPr>
      <w:r>
        <w:t xml:space="preserve">References</w:t>
      </w:r>
    </w:p>
    <w:p>
      <w:pPr>
        <w:numPr>
          <w:ilvl w:val="0"/>
          <w:numId w:val="1001"/>
        </w:numPr>
        <w:pStyle w:val="Compact"/>
      </w:pPr>
      <w:r>
        <w:t xml:space="preserve">Universidad Nacional de Colombia. (2023). *Annual Report on STEM Education in Medellín.*</w:t>
      </w:r>
    </w:p>
    <w:p>
      <w:pPr>
        <w:numPr>
          <w:ilvl w:val="0"/>
          <w:numId w:val="1001"/>
        </w:numPr>
        <w:pStyle w:val="Compact"/>
      </w:pPr>
      <w:r>
        <w:t xml:space="preserve">EAFIT University. (2023). *Innovation Park Case Studies: Technology and Social Impact.*</w:t>
      </w:r>
    </w:p>
    <w:p>
      <w:pPr>
        <w:numPr>
          <w:ilvl w:val="0"/>
          <w:numId w:val="1001"/>
        </w:numPr>
        <w:pStyle w:val="Compact"/>
      </w:pPr>
      <w:r>
        <w:t xml:space="preserve">Asocoltécnicos. (2023). *Colombian Tech Industry Employment Trends.*</w:t>
      </w:r>
    </w:p>
    <w:p>
      <w:pPr>
        <w:numPr>
          <w:ilvl w:val="0"/>
          <w:numId w:val="1001"/>
        </w:numPr>
        <w:pStyle w:val="Compact"/>
      </w:pPr>
      <w:r>
        <w:t xml:space="preserve">Medellín City Government. (2023). *Smart City Development Plan 2030.*</w:t>
      </w:r>
    </w:p>
    <w:bookmarkEnd w:id="25"/>
    <w:p>
      <w:pPr>
        <w:pStyle w:val="FirstParagraph"/>
      </w:pPr>
      <w:r>
        <w:rPr>
          <w:iCs/>
          <w:i/>
        </w:rPr>
        <w:t xml:space="preserve">Authored for a Master Thesis in Computer Engineering, focusing on Medellín, Colombia.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Medellín, Colombia</dc:title>
  <dc:creator/>
  <dc:language>en</dc:language>
  <cp:keywords/>
  <dcterms:created xsi:type="dcterms:W3CDTF">2026-04-28T20:18:39Z</dcterms:created>
  <dcterms:modified xsi:type="dcterms:W3CDTF">2026-04-28T20:18:39Z</dcterms:modified>
</cp:coreProperties>
</file>

<file path=docProps/custom.xml><?xml version="1.0" encoding="utf-8"?>
<Properties xmlns="http://schemas.openxmlformats.org/officeDocument/2006/custom-properties" xmlns:vt="http://schemas.openxmlformats.org/officeDocument/2006/docPropsVTypes"/>
</file>