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Master Thesis: The Role of the Curriculum Developer in New Zealand Wellington: A Study on Educational Innovation and Contextual Adaptation</w:t>
      </w:r>
    </w:p>
    <w:p>
      <w:pPr>
        <w:pStyle w:val="BodyText"/>
      </w:pPr>
      <w:r>
        <w:t xml:space="preserve">This Master Thesis explores the multifaceted role of a</w:t>
      </w:r>
      <w:r>
        <w:t xml:space="preserve"> </w:t>
      </w:r>
      <w:r>
        <w:rPr>
          <w:bCs/>
          <w:b/>
        </w:rPr>
        <w:t xml:space="preserve">Curriculum Developer</w:t>
      </w:r>
      <w:r>
        <w:t xml:space="preserve"> </w:t>
      </w:r>
      <w:r>
        <w:t xml:space="preserve">within the educational landscape of</w:t>
      </w:r>
      <w:r>
        <w:t xml:space="preserve"> </w:t>
      </w:r>
      <w:r>
        <w:rPr>
          <w:bCs/>
          <w:b/>
        </w:rPr>
        <w:t xml:space="preserve">New Zealand Wellington</w:t>
      </w:r>
      <w:r>
        <w:t xml:space="preserve">, focusing on how contextual factors, policy frameworks, and cultural diversity shape curriculum design and implementation. As a hub for innovation in education, Wellington presents unique opportunities and challenges for Curriculum Developers to align pedagogical practices with the needs of a rapidly evolving society. This study examines the interplay between theoretical frameworks of curriculum development and practical applications in Wellington’s schools, colleges, and early childhood institutions.</w:t>
      </w:r>
    </w:p>
    <w:p>
      <w:pPr>
        <w:pStyle w:val="BodyText"/>
      </w:pPr>
      <w:r>
        <w:rPr>
          <w:bCs/>
          <w:b/>
        </w:rPr>
        <w:t xml:space="preserve">1. Introduction</w:t>
      </w:r>
    </w:p>
    <w:p>
      <w:pPr>
        <w:pStyle w:val="BodyText"/>
      </w:pPr>
      <w:r>
        <w:t xml:space="preserve">The role of a</w:t>
      </w:r>
      <w:r>
        <w:t xml:space="preserve"> </w:t>
      </w:r>
      <w:r>
        <w:rPr>
          <w:bCs/>
          <w:b/>
        </w:rPr>
        <w:t xml:space="preserve">Curriculum Developer</w:t>
      </w:r>
      <w:r>
        <w:t xml:space="preserve"> </w:t>
      </w:r>
      <w:r>
        <w:t xml:space="preserve">is pivotal in shaping educational outcomes, ensuring alignment with national standards while addressing local community needs. In</w:t>
      </w:r>
      <w:r>
        <w:t xml:space="preserve"> </w:t>
      </w:r>
      <w:r>
        <w:rPr>
          <w:bCs/>
          <w:b/>
        </w:rPr>
        <w:t xml:space="preserve">New Zealand Wellington</w:t>
      </w:r>
      <w:r>
        <w:t xml:space="preserve">, this role demands a nuanced understanding of cultural, socio-economic, and policy-specific contexts. Wellington’s status as the capital and a center for arts, technology, and research makes it a microcosm of New Zealand’s educational priorities. This thesis investigates how Curriculum Developers in Wellington navigate these dynamics to create inclusive, future-focused curricula that resonate with both national goals—such as those outlined in the</w:t>
      </w:r>
      <w:r>
        <w:t xml:space="preserve"> </w:t>
      </w:r>
      <w:r>
        <w:rPr>
          <w:iCs/>
          <w:i/>
        </w:rPr>
        <w:t xml:space="preserve">New Zealand Curriculum</w:t>
      </w:r>
      <w:r>
        <w:t xml:space="preserve"> </w:t>
      </w:r>
      <w:r>
        <w:t xml:space="preserve">(2007)—and local aspirations.</w:t>
      </w:r>
    </w:p>
    <w:p>
      <w:pPr>
        <w:pStyle w:val="BodyText"/>
      </w:pPr>
      <w:r>
        <w:rPr>
          <w:bCs/>
          <w:b/>
        </w:rPr>
        <w:t xml:space="preserve">2. Literature Review</w:t>
      </w:r>
    </w:p>
    <w:p>
      <w:pPr>
        <w:pStyle w:val="BodyText"/>
      </w:pPr>
      <w:r>
        <w:t xml:space="preserve">The theoretical foundation of curriculum development is rooted in pedagogical theories ranging from constructivism to critical pedagogy. Scholars such as Michael Apple and Heidi Hayes Jacobs emphasize the political and social dimensions of curriculum design, arguing that it reflects power structures and societal values. In New Zealand, the</w:t>
      </w:r>
      <w:r>
        <w:t xml:space="preserve"> </w:t>
      </w:r>
      <w:r>
        <w:rPr>
          <w:iCs/>
          <w:i/>
        </w:rPr>
        <w:t xml:space="preserve">Tiriti o Waitangi</w:t>
      </w:r>
      <w:r>
        <w:t xml:space="preserve"> </w:t>
      </w:r>
      <w:r>
        <w:t xml:space="preserve">(Treaty of Waitangi) mandates that curricula honor Māori perspectives, a principle central to Curriculum Developers in Wellington. Research by Smith and Blythe (2018) highlights how Wellington’s diverse population—comprising Māori, Pacific Islanders, and international migrants—necessitates culturally responsive curricula that foster equity and inclusion.</w:t>
      </w:r>
    </w:p>
    <w:p>
      <w:pPr>
        <w:pStyle w:val="BodyText"/>
      </w:pPr>
      <w:r>
        <w:rPr>
          <w:bCs/>
          <w:b/>
        </w:rPr>
        <w:t xml:space="preserve">3. Methodology</w:t>
      </w:r>
    </w:p>
    <w:p>
      <w:pPr>
        <w:pStyle w:val="BodyText"/>
      </w:pPr>
      <w:r>
        <w:t xml:space="preserve">This study employs a qualitative case study approach, focusing on three key stakeholders: Curriculum Developers in Wellington primary schools, secondary institutions, and tertiary education providers. Data collection involved semi-structured interviews with 12 participants, document analysis of curricula from local schools (e.g., Wellington College and Te Kura o Tāmaki Pāpaku), and observations of collaborative curriculum design workshops. The methodology aligns with Yin’s (2014) framework for case study research, ensuring a holistic understanding of the Curriculum Developer’s role within New Zealand Wellington.</w:t>
      </w:r>
    </w:p>
    <w:p>
      <w:pPr>
        <w:pStyle w:val="BodyText"/>
      </w:pPr>
      <w:r>
        <w:rPr>
          <w:bCs/>
          <w:b/>
        </w:rPr>
        <w:t xml:space="preserve">4. Findings and Analysis</w:t>
      </w:r>
    </w:p>
    <w:p>
      <w:pPr>
        <w:pStyle w:val="BodyText"/>
      </w:pPr>
      <w:r>
        <w:t xml:space="preserve">The findings reveal that</w:t>
      </w:r>
      <w:r>
        <w:t xml:space="preserve"> </w:t>
      </w:r>
      <w:r>
        <w:rPr>
          <w:bCs/>
          <w:b/>
        </w:rPr>
        <w:t xml:space="preserve">Curriculum Developers</w:t>
      </w:r>
      <w:r>
        <w:t xml:space="preserve"> </w:t>
      </w:r>
      <w:r>
        <w:t xml:space="preserve">in Wellington operate within a dual mandate: adhering to national standards while innovating to meet local needs. For instance, one developer highlighted the integration of Te Reo Māori into science curricula at a primary school in Lower Hutt, reflecting Wellington’s commitment to bicultural education. Another case study showcased how Pacific Islander cultural practices were woven into health and physical education programs at a secondary college in Karori.</w:t>
      </w:r>
    </w:p>
    <w:p>
      <w:pPr>
        <w:pStyle w:val="BodyText"/>
      </w:pPr>
      <w:r>
        <w:t xml:space="preserve">Furthermore, the influence of Wellington’s proximity to national policy hubs—such as the Ministry of Education and local educational research institutes—has enabled Curriculum Developers to pilot innovative initiatives. For example, the adoption of digital technologies in literacy programs at a school in Newtown aligns with New Zealand’s</w:t>
      </w:r>
      <w:r>
        <w:t xml:space="preserve"> </w:t>
      </w:r>
      <w:r>
        <w:rPr>
          <w:iCs/>
          <w:i/>
        </w:rPr>
        <w:t xml:space="preserve">Digital Technologies in Learning</w:t>
      </w:r>
      <w:r>
        <w:t xml:space="preserve"> </w:t>
      </w:r>
      <w:r>
        <w:t xml:space="preserve">strategy. However, challenges such as resource constraints and resistance to change were noted as barriers to sustained innovation.</w:t>
      </w:r>
    </w:p>
    <w:p>
      <w:pPr>
        <w:pStyle w:val="BodyText"/>
      </w:pPr>
      <w:r>
        <w:rPr>
          <w:bCs/>
          <w:b/>
        </w:rPr>
        <w:t xml:space="preserve">5. Discussion</w:t>
      </w:r>
    </w:p>
    <w:p>
      <w:pPr>
        <w:pStyle w:val="BodyText"/>
      </w:pPr>
      <w:r>
        <w:t xml:space="preserve">The role of the</w:t>
      </w:r>
      <w:r>
        <w:t xml:space="preserve"> </w:t>
      </w:r>
      <w:r>
        <w:rPr>
          <w:bCs/>
          <w:b/>
        </w:rPr>
        <w:t xml:space="preserve">Curriculum Developer</w:t>
      </w:r>
      <w:r>
        <w:t xml:space="preserve"> </w:t>
      </w:r>
      <w:r>
        <w:t xml:space="preserve">in</w:t>
      </w:r>
      <w:r>
        <w:t xml:space="preserve"> </w:t>
      </w:r>
      <w:r>
        <w:rPr>
          <w:bCs/>
          <w:b/>
        </w:rPr>
        <w:t xml:space="preserve">New Zealand Wellington</w:t>
      </w:r>
      <w:r>
        <w:t xml:space="preserve"> </w:t>
      </w:r>
      <w:r>
        <w:t xml:space="preserve">is characterized by a dynamic interplay between national policy, local context, and community engagement. Unlike other regions, Wellington’s diversity and cultural richness necessitate a curriculum that is both inclusive and adaptable. This aligns with the concept of “curriculum as praxis,” where developers act as mediators between theory and practice (Eisner, 2002). The study also underscores the importance of professional development for Curriculum Developers, particularly in areas such as culturally responsive teaching and digital literacy.</w:t>
      </w:r>
    </w:p>
    <w:p>
      <w:pPr>
        <w:pStyle w:val="BodyText"/>
      </w:pPr>
      <w:r>
        <w:t xml:space="preserve">Additionally, Wellington’s position as a global city introduces opportunities for cross-cultural collaboration. For instance, partnerships between local schools and international institutions have inspired interdisciplinary curricula that blend environmental science with sustainability practices. These initiatives reflect Wellington’s identity as a leader in climate action and innovation.</w:t>
      </w:r>
    </w:p>
    <w:p>
      <w:pPr>
        <w:pStyle w:val="BodyText"/>
      </w:pPr>
      <w:r>
        <w:rPr>
          <w:bCs/>
          <w:b/>
        </w:rPr>
        <w:t xml:space="preserve">6. Conclusion and Recommendations</w:t>
      </w:r>
    </w:p>
    <w:p>
      <w:pPr>
        <w:pStyle w:val="BodyText"/>
      </w:pPr>
      <w:r>
        <w:t xml:space="preserve">This thesis argues that the</w:t>
      </w:r>
      <w:r>
        <w:t xml:space="preserve"> </w:t>
      </w:r>
      <w:r>
        <w:rPr>
          <w:bCs/>
          <w:b/>
        </w:rPr>
        <w:t xml:space="preserve">Curriculum Developer</w:t>
      </w:r>
      <w:r>
        <w:t xml:space="preserve"> </w:t>
      </w:r>
      <w:r>
        <w:t xml:space="preserve">is a critical agent of change in</w:t>
      </w:r>
      <w:r>
        <w:t xml:space="preserve"> </w:t>
      </w:r>
      <w:r>
        <w:rPr>
          <w:bCs/>
          <w:b/>
        </w:rPr>
        <w:t xml:space="preserve">New Zealand Wellington</w:t>
      </w:r>
      <w:r>
        <w:t xml:space="preserve">, tasked with balancing national mandates with local needs. To enhance their effectiveness, recommendations include: (1) expanding professional learning networks for Curriculum Developers, (2) increasing funding for culturally specific curricula, and (3) fostering collaboration between schools and research institutions in Wellington. Future research should explore the long-term impact of these initiatives on student outcomes and teacher morale.</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New Zealand Wellington</w:t>
      </w:r>
      <w:r>
        <w:t xml:space="preserve"> </w:t>
      </w:r>
      <w:r>
        <w:t xml:space="preserve">must navigate a complex landscape of policy, culture, and innovation. By doing so, they contribute to a resilient educational system that prepares students for an ever-changing world while honoring the unique identity of their region.</w:t>
      </w:r>
    </w:p>
    <w:p>
      <w:pPr>
        <w:pStyle w:val="BodyText"/>
      </w:pPr>
      <w:r>
        <w:rPr>
          <w:iCs/>
          <w:i/>
        </w:rPr>
        <w:t xml:space="preserve">References (selected):</w:t>
      </w:r>
    </w:p>
    <w:p>
      <w:pPr>
        <w:pStyle w:val="BodyText"/>
      </w:pPr>
      <w:r>
        <w:t xml:space="preserve">Blythe, J., &amp; Smith, R. (2018).</w:t>
      </w:r>
      <w:r>
        <w:t xml:space="preserve"> </w:t>
      </w:r>
      <w:r>
        <w:rPr>
          <w:iCs/>
          <w:i/>
        </w:rPr>
        <w:t xml:space="preserve">Cultural Responsiveness in New Zealand Schools</w:t>
      </w:r>
      <w:r>
        <w:t xml:space="preserve">. Wellington: Ministry of Education.</w:t>
      </w:r>
    </w:p>
    <w:p>
      <w:pPr>
        <w:pStyle w:val="BodyText"/>
      </w:pPr>
      <w:r>
        <w:t xml:space="preserve">Eisner, E. W. (2002).</w:t>
      </w:r>
      <w:r>
        <w:t xml:space="preserve"> </w:t>
      </w:r>
      <w:r>
        <w:rPr>
          <w:iCs/>
          <w:i/>
        </w:rPr>
        <w:t xml:space="preserve">The Arts and the Creation of Mind</w:t>
      </w:r>
      <w:r>
        <w:t xml:space="preserve">. Yale University Press.</w:t>
      </w:r>
    </w:p>
    <w:p>
      <w:pPr>
        <w:pStyle w:val="BodyText"/>
      </w:pPr>
      <w:r>
        <w:t xml:space="preserve">New Zealand Curriculum (2007). Retrieved from</w:t>
      </w:r>
      <w:r>
        <w:t xml:space="preserve"> </w:t>
      </w:r>
      <w:hyperlink r:id="rId20">
        <w:r>
          <w:rPr>
            <w:rStyle w:val="Hyperlink"/>
          </w:rPr>
          <w:t xml:space="preserve">tki.org.nz</w:t>
        </w:r>
      </w:hyperlink>
    </w:p>
    <w:p>
      <w:pPr>
        <w:pStyle w:val="BodyText"/>
      </w:pPr>
      <w:r>
        <w:t xml:space="preserve">Yin, R. K. (2014).</w:t>
      </w:r>
    </w:p>
    <w:p>
      <w:pPr>
        <w:pStyle w:val="BodyText"/>
      </w:pPr>
      <w:r>
        <w:t xml:space="preserve">. Sage Publications.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tki.org.nz" TargetMode="External" /></Relationships>
</file>

<file path=word/_rels/footnotes.xml.rels><?xml version="1.0" encoding="UTF-8"?><Relationships xmlns="http://schemas.openxmlformats.org/package/2006/relationships"><Relationship Type="http://schemas.openxmlformats.org/officeDocument/2006/relationships/hyperlink" Id="rId20" Target="https://www.tki.org.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2026-07-23T09:59:18Z</dcterms:created>
  <dcterms:modified xsi:type="dcterms:W3CDTF">2026-07-23T09:59:18Z</dcterms:modified>
</cp:coreProperties>
</file>

<file path=docProps/custom.xml><?xml version="1.0" encoding="utf-8"?>
<Properties xmlns="http://schemas.openxmlformats.org/officeDocument/2006/custom-properties" xmlns:vt="http://schemas.openxmlformats.org/officeDocument/2006/docPropsVTypes"/>
</file>