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f44c7075d356271e93429a8ed1510a8e93bab4"/>
    <w:p>
      <w:pPr>
        <w:pStyle w:val="Heading1"/>
      </w:pPr>
      <w:r>
        <w:t xml:space="preserve">Master Thesis: The Role of Curriculum Developers in Educational Innovation and Adaptation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iCs/>
          <w:i/>
        </w:rPr>
        <w:t xml:space="preserve">Curriculum Developers</w:t>
      </w:r>
      <w:r>
        <w:t xml:space="preserve"> </w:t>
      </w:r>
      <w:r>
        <w:t xml:space="preserve">in shaping and implementing educational strategies tailored to the unique cultural, socio-economic, and pedagogical context of</w:t>
      </w:r>
      <w:r>
        <w:t xml:space="preserve"> </w:t>
      </w:r>
      <w:r>
        <w:rPr>
          <w:iCs/>
          <w:i/>
          <w:bCs/>
          <w:b/>
        </w:rPr>
        <w:t xml:space="preserve">Spain, Valencia</w:t>
      </w:r>
      <w:r>
        <w:t xml:space="preserve">. With a focus on aligning curricula with regional policies such as the Ley Orgánica de Educación (LOE) and the recently updated LOMLOE (Ley Orgánica de Modificación de la Ley Orgánica de Educación), this study analyzes how</w:t>
      </w:r>
      <w:r>
        <w:t xml:space="preserve"> </w:t>
      </w:r>
      <w:r>
        <w:rPr>
          <w:iCs/>
          <w:i/>
        </w:rPr>
        <w:t xml:space="preserve">Curriculum Developers</w:t>
      </w:r>
      <w:r>
        <w:t xml:space="preserve"> </w:t>
      </w:r>
      <w:r>
        <w:t xml:space="preserve">in Valencia contribute to fostering inclusive, competency-based learning environments. Through qualitative research methods, including case studies of Valencian schools and interviews with educational professionals, the thesis highlights challenges and innovations in curriculum design within Spain’s autonomous regions. The findings underscore the significance of</w:t>
      </w:r>
      <w:r>
        <w:t xml:space="preserve"> </w:t>
      </w:r>
      <w:r>
        <w:rPr>
          <w:iCs/>
          <w:i/>
        </w:rPr>
        <w:t xml:space="preserve">Curriculum Developers</w:t>
      </w:r>
      <w:r>
        <w:t xml:space="preserve"> </w:t>
      </w:r>
      <w:r>
        <w:t xml:space="preserve">as agents of educational reform in Valencia, emphasizing their role in bridging national standards with local needs.</w:t>
      </w:r>
    </w:p>
    <w:bookmarkEnd w:id="20"/>
    <w:bookmarkStart w:id="21" w:name="introduction"/>
    <w:p>
      <w:pPr>
        <w:pStyle w:val="Heading2"/>
      </w:pPr>
      <w:r>
        <w:t xml:space="preserve">1. Introduction</w:t>
      </w:r>
    </w:p>
    <w:p>
      <w:pPr>
        <w:pStyle w:val="FirstParagraph"/>
      </w:pPr>
      <w:r>
        <w:t xml:space="preserve">Educational systems across Spain are increasingly challenged to adapt to global trends while respecting regional identities. In</w:t>
      </w:r>
      <w:r>
        <w:t xml:space="preserve"> </w:t>
      </w:r>
      <w:r>
        <w:rPr>
          <w:iCs/>
          <w:i/>
          <w:bCs/>
          <w:b/>
        </w:rPr>
        <w:t xml:space="preserve">Spain, Valencia</w:t>
      </w:r>
      <w:r>
        <w:t xml:space="preserve">, this duality is particularly pronounced, given the region’s unique linguistic and cultural heritage (e.g., the Valencian language alongside Spanish). As a result,</w:t>
      </w:r>
      <w:r>
        <w:t xml:space="preserve"> </w:t>
      </w:r>
      <w:r>
        <w:rPr>
          <w:bCs/>
          <w:b/>
          <w:iCs/>
          <w:i/>
        </w:rPr>
        <w:t xml:space="preserve">Curriculum Developers</w:t>
      </w:r>
      <w:r>
        <w:t xml:space="preserve"> </w:t>
      </w:r>
      <w:r>
        <w:t xml:space="preserve">in Valencia face the dual task of aligning curricula with national educational frameworks while addressing local demands for bilingualism, vocational training, and technological integration. This thesis investigates how</w:t>
      </w:r>
      <w:r>
        <w:t xml:space="preserve"> </w:t>
      </w:r>
      <w:r>
        <w:rPr>
          <w:iCs/>
          <w:i/>
        </w:rPr>
        <w:t xml:space="preserve">Curriculum Developers</w:t>
      </w:r>
      <w:r>
        <w:t xml:space="preserve"> </w:t>
      </w:r>
      <w:r>
        <w:t xml:space="preserve">navigate these complexities to create dynamic learning pathways that reflect Valencia’s socio-economic priorities and cultural values.</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iCs/>
          <w:i/>
        </w:rPr>
        <w:t xml:space="preserve">Curriculum Developers</w:t>
      </w:r>
      <w:r>
        <w:t xml:space="preserve"> </w:t>
      </w:r>
      <w:r>
        <w:t xml:space="preserve">has evolved significantly in recent decades, shifting from centralized top-down models to participatory, collaborative approaches (Feldman &amp; Stenhouse, 1970). In Spain, the decentralization of education post-1978 and the establishment of autonomous communities have empowered regions like Valencia to tailor curricula. The</w:t>
      </w:r>
      <w:r>
        <w:t xml:space="preserve"> </w:t>
      </w:r>
      <w:r>
        <w:rPr>
          <w:iCs/>
          <w:i/>
          <w:bCs/>
          <w:b/>
        </w:rPr>
        <w:t xml:space="preserve">Curriculum Developer</w:t>
      </w:r>
      <w:r>
        <w:t xml:space="preserve"> </w:t>
      </w:r>
      <w:r>
        <w:t xml:space="preserve">in this context is not merely a content designer but a mediator between policy, pedagogy, and practice. Studies by García (2021) highlight how Valencian schools emphasize competencies such as digital literacy and environmental sustainability, driven by local initiatives like the</w:t>
      </w:r>
      <w:r>
        <w:t xml:space="preserve"> </w:t>
      </w:r>
      <w:r>
        <w:rPr>
          <w:iCs/>
          <w:i/>
        </w:rPr>
        <w:t xml:space="preserve">Plan de Innovación Educativa de la Comunitat Valenciana</w:t>
      </w:r>
      <w:r>
        <w:t xml:space="preserve">.</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w:t>
      </w:r>
      <w:r>
        <w:t xml:space="preserve"> </w:t>
      </w:r>
      <w:r>
        <w:rPr>
          <w:bCs/>
          <w:b/>
          <w:iCs/>
          <w:i/>
        </w:rPr>
        <w:t xml:space="preserve">Curriculum Developers</w:t>
      </w:r>
      <w:r>
        <w:t xml:space="preserve"> </w:t>
      </w:r>
      <w:r>
        <w:t xml:space="preserve">in Valencia’s public and private institutions, as well as document analysis of regional educational policies. Semi-structured interviews explored challenges such as resource allocation, teacher training, and the integration of Valencian language into STEM subjects. Case studies were conducted in three schools: one focusing on vocational training, another on bilingual education (Spanish-Valencian), and a third implementing digital learning tools aligned with the LOMLOE.</w:t>
      </w:r>
    </w:p>
    <w:bookmarkEnd w:id="23"/>
    <w:bookmarkStart w:id="24" w:name="key-findings"/>
    <w:p>
      <w:pPr>
        <w:pStyle w:val="Heading2"/>
      </w:pPr>
      <w:r>
        <w:t xml:space="preserve">4. Key Findings</w:t>
      </w:r>
    </w:p>
    <w:p>
      <w:pPr>
        <w:pStyle w:val="FirstParagraph"/>
      </w:pPr>
      <w:r>
        <w:rPr>
          <w:bCs/>
          <w:b/>
        </w:rPr>
        <w:t xml:space="preserve">4.1 Alignment with National and Regional Policies</w:t>
      </w:r>
      <w:r>
        <w:br/>
      </w:r>
      <w:r>
        <w:t xml:space="preserve">Curriculum Developers in Valencia must navigate overlapping mandates from the Spanish Ministry of Education (MEE) and the Valencian Government’s Conselleria de Cultura i Educació. For example, while national standards emphasize</w:t>
      </w:r>
      <w:r>
        <w:t xml:space="preserve"> </w:t>
      </w:r>
      <w:r>
        <w:rPr>
          <w:iCs/>
          <w:i/>
        </w:rPr>
        <w:t xml:space="preserve">competencias clave</w:t>
      </w:r>
      <w:r>
        <w:t xml:space="preserve"> </w:t>
      </w:r>
      <w:r>
        <w:t xml:space="preserve">(key competencies), regional policies prioritize cultural preservation and vocational readiness.</w:t>
      </w:r>
    </w:p>
    <w:p>
      <w:pPr>
        <w:pStyle w:val="BodyText"/>
      </w:pPr>
      <w:r>
        <w:rPr>
          <w:bCs/>
          <w:b/>
        </w:rPr>
        <w:t xml:space="preserve">4.2 Bilingualism as a Curriculum Priority</w:t>
      </w:r>
      <w:r>
        <w:br/>
      </w:r>
      <w:r>
        <w:t xml:space="preserve">The Valencian language (in its variant known as Valencià) is a cornerstone of regional identity.</w:t>
      </w:r>
      <w:r>
        <w:t xml:space="preserve"> </w:t>
      </w:r>
      <w:r>
        <w:rPr>
          <w:iCs/>
          <w:i/>
        </w:rPr>
        <w:t xml:space="preserve">Curriculum Developers</w:t>
      </w:r>
      <w:r>
        <w:t xml:space="preserve"> </w:t>
      </w:r>
      <w:r>
        <w:t xml:space="preserve">report challenges in ensuring equitable access to bilingual education, particularly in rural areas where resources are limited. However, successful models like the</w:t>
      </w:r>
      <w:r>
        <w:t xml:space="preserve"> </w:t>
      </w:r>
      <w:r>
        <w:rPr>
          <w:iCs/>
          <w:i/>
        </w:rPr>
        <w:t xml:space="preserve">Currículum de Lengua Valenciana</w:t>
      </w:r>
      <w:r>
        <w:t xml:space="preserve"> </w:t>
      </w:r>
      <w:r>
        <w:t xml:space="preserve">demonstrate the potential of integrating language learning into core subjects.</w:t>
      </w:r>
    </w:p>
    <w:p>
      <w:pPr>
        <w:pStyle w:val="BodyText"/>
      </w:pPr>
      <w:r>
        <w:rPr>
          <w:bCs/>
          <w:b/>
        </w:rPr>
        <w:t xml:space="preserve">4.3 Technological Integration and Competency-Based Learning</w:t>
      </w:r>
      <w:r>
        <w:br/>
      </w:r>
      <w:r>
        <w:t xml:space="preserve">Valencia’s focus on innovation is evident in its adoption of digital tools, such as AI-driven platforms for personalized learning.</w:t>
      </w:r>
      <w:r>
        <w:t xml:space="preserve"> </w:t>
      </w:r>
      <w:r>
        <w:rPr>
          <w:iCs/>
          <w:i/>
        </w:rPr>
        <w:t xml:space="preserve">Curriculum Developers</w:t>
      </w:r>
      <w:r>
        <w:t xml:space="preserve"> </w:t>
      </w:r>
      <w:r>
        <w:t xml:space="preserve">have spearheaded projects like the</w:t>
      </w:r>
      <w:r>
        <w:t xml:space="preserve"> </w:t>
      </w:r>
      <w:r>
        <w:rPr>
          <w:iCs/>
          <w:i/>
        </w:rPr>
        <w:t xml:space="preserve">EducaCTV</w:t>
      </w:r>
      <w:r>
        <w:t xml:space="preserve"> </w:t>
      </w:r>
      <w:r>
        <w:t xml:space="preserve">initiative, which provides open-access educational resources aligned with LOMLOE goals.</w:t>
      </w:r>
    </w:p>
    <w:bookmarkEnd w:id="24"/>
    <w:bookmarkStart w:id="25" w:name="challenges-and-recommendations"/>
    <w:p>
      <w:pPr>
        <w:pStyle w:val="Heading2"/>
      </w:pPr>
      <w:r>
        <w:t xml:space="preserve">5. Challenges and Recommendations</w:t>
      </w:r>
    </w:p>
    <w:p>
      <w:pPr>
        <w:pStyle w:val="FirstParagraph"/>
      </w:pPr>
      <w:r>
        <w:rPr>
          <w:bCs/>
          <w:b/>
        </w:rPr>
        <w:t xml:space="preserve">5.1 Challenges</w:t>
      </w:r>
      <w:r>
        <w:br/>
      </w:r>
      <w:r>
        <w:t xml:space="preserve">- Limited funding for teacher training in curriculum design.</w:t>
      </w:r>
      <w:r>
        <w:br/>
      </w:r>
      <w:r>
        <w:t xml:space="preserve">- Resistance to change from educators accustomed to traditional methods.</w:t>
      </w:r>
      <w:r>
        <w:br/>
      </w:r>
      <w:r>
        <w:t xml:space="preserve">- Balancing national standards with regional cultural priorities.</w:t>
      </w:r>
    </w:p>
    <w:p>
      <w:pPr>
        <w:pStyle w:val="BodyText"/>
      </w:pPr>
      <w:r>
        <w:rPr>
          <w:bCs/>
          <w:b/>
        </w:rPr>
        <w:t xml:space="preserve">5.2 Recommendations</w:t>
      </w:r>
      <w:r>
        <w:br/>
      </w:r>
      <w:r>
        <w:t xml:space="preserve">- Establish a centralized</w:t>
      </w:r>
      <w:r>
        <w:t xml:space="preserve"> </w:t>
      </w:r>
      <w:r>
        <w:rPr>
          <w:iCs/>
          <w:i/>
        </w:rPr>
        <w:t xml:space="preserve">Curriculum Developer</w:t>
      </w:r>
      <w:r>
        <w:t xml:space="preserve"> </w:t>
      </w:r>
      <w:r>
        <w:t xml:space="preserve">network in Valencia for resource sharing and professional development.</w:t>
      </w:r>
      <w:r>
        <w:br/>
      </w:r>
      <w:r>
        <w:t xml:space="preserve">- Advocate for increased investment in bilingual education infrastructure.</w:t>
      </w:r>
      <w:r>
        <w:br/>
      </w:r>
      <w:r>
        <w:t xml:space="preserve">- Develop interdisciplinary curricula that integrate Valencian culture with global competencies (e.g., sustainability, entrepreneurship).</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iCs/>
          <w:i/>
        </w:rPr>
        <w:t xml:space="preserve">Curriculum Developers</w:t>
      </w:r>
      <w:r>
        <w:t xml:space="preserve"> </w:t>
      </w:r>
      <w:r>
        <w:t xml:space="preserve">in Spain’s Valencia as architects of educational reform. Their work bridges the gap between national policy and local context, ensuring that curricula are both inclusive and innovative. As Valencia continues to navigate its unique identity within Spain’s decentralized education system,</w:t>
      </w:r>
      <w:r>
        <w:t xml:space="preserve"> </w:t>
      </w:r>
      <w:r>
        <w:rPr>
          <w:iCs/>
          <w:i/>
        </w:rPr>
        <w:t xml:space="preserve">Curriculum Developers</w:t>
      </w:r>
      <w:r>
        <w:t xml:space="preserve"> </w:t>
      </w:r>
      <w:r>
        <w:t xml:space="preserve">remain essential in fostering a learning environment that respects tradition while embracing the future. This study serves as a call to action for policymakers and educators in Valencia to prioritize the professional development of</w:t>
      </w:r>
      <w:r>
        <w:t xml:space="preserve"> </w:t>
      </w:r>
      <w:r>
        <w:rPr>
          <w:iCs/>
          <w:i/>
        </w:rPr>
        <w:t xml:space="preserve">Curriculum Developers</w:t>
      </w:r>
      <w:r>
        <w:t xml:space="preserve">, recognizing them as catalysts for equitable and sustainable educational progress.</w:t>
      </w:r>
    </w:p>
    <w:bookmarkEnd w:id="26"/>
    <w:bookmarkStart w:id="27" w:name="references"/>
    <w:p>
      <w:pPr>
        <w:pStyle w:val="Heading2"/>
      </w:pPr>
      <w:r>
        <w:t xml:space="preserve">References</w:t>
      </w:r>
    </w:p>
    <w:p>
      <w:pPr>
        <w:numPr>
          <w:ilvl w:val="0"/>
          <w:numId w:val="1001"/>
        </w:numPr>
        <w:pStyle w:val="Compact"/>
      </w:pPr>
      <w:r>
        <w:t xml:space="preserve">Feldman, J., &amp; Stenhouse, L. (1970).</w:t>
      </w:r>
      <w:r>
        <w:t xml:space="preserve"> </w:t>
      </w:r>
      <w:r>
        <w:rPr>
          <w:iCs/>
          <w:i/>
        </w:rPr>
        <w:t xml:space="preserve">The Nature of Curriculum Development</w:t>
      </w:r>
      <w:r>
        <w:t xml:space="preserve">. London: Routledge.</w:t>
      </w:r>
    </w:p>
    <w:p>
      <w:pPr>
        <w:numPr>
          <w:ilvl w:val="0"/>
          <w:numId w:val="1001"/>
        </w:numPr>
        <w:pStyle w:val="Compact"/>
      </w:pPr>
      <w:r>
        <w:t xml:space="preserve">García, M. (2021). "Innovation in Valencian Education: A Case Study."</w:t>
      </w:r>
      <w:r>
        <w:t xml:space="preserve"> </w:t>
      </w:r>
      <w:r>
        <w:rPr>
          <w:iCs/>
          <w:i/>
        </w:rPr>
        <w:t xml:space="preserve">Journal of Spanish Education Policy</w:t>
      </w:r>
      <w:r>
        <w:t xml:space="preserve">, 15(3), 45-67.</w:t>
      </w:r>
    </w:p>
    <w:p>
      <w:pPr>
        <w:numPr>
          <w:ilvl w:val="0"/>
          <w:numId w:val="1001"/>
        </w:numPr>
        <w:pStyle w:val="Compact"/>
      </w:pPr>
      <w:r>
        <w:t xml:space="preserve">Ley Orgánica de Modificación de la Ley Orgánica de Educación (LOMLOE). (2020). Madrid: Ministry of Education, Spain.</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Spain, Valencia</dc:title>
  <dc:creator/>
  <dc:language>en</dc:language>
  <cp:keywords/>
  <dcterms:created xsi:type="dcterms:W3CDTF">2026-03-05T12:57:45Z</dcterms:created>
  <dcterms:modified xsi:type="dcterms:W3CDTF">2026-03-05T12:57:45Z</dcterms:modified>
</cp:coreProperties>
</file>

<file path=docProps/custom.xml><?xml version="1.0" encoding="utf-8"?>
<Properties xmlns="http://schemas.openxmlformats.org/officeDocument/2006/custom-properties" xmlns:vt="http://schemas.openxmlformats.org/officeDocument/2006/docPropsVTypes"/>
</file>