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aa70f1d6457694a245a1c683003d18110f0b972"/>
    <w:p>
      <w:pPr>
        <w:pStyle w:val="Heading1"/>
      </w:pPr>
      <w:r>
        <w:t xml:space="preserve">Master Thesis: The Role of an Education Administrator in China Guangzhou</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in the context of China Guangzhou, a rapidly evolving metropolitan region. Focusing on the unique educational landscape shaped by national policies, socio-economic dynamics, and technological advancements, this study examines how education administrators navigate systemic demands to foster equitable and innovative learning environments. The thesis underscores the importance of strategic leadership in addressing disparities between urban and rural schools while aligning with China’s broader educational reforms.</w:t>
      </w:r>
    </w:p>
    <w:bookmarkEnd w:id="20"/>
    <w:bookmarkStart w:id="21" w:name="introduction"/>
    <w:p>
      <w:pPr>
        <w:pStyle w:val="Heading2"/>
      </w:pPr>
      <w:r>
        <w:t xml:space="preserve">Introduction</w:t>
      </w:r>
    </w:p>
    <w:p>
      <w:pPr>
        <w:pStyle w:val="FirstParagraph"/>
      </w:pPr>
      <w:r>
        <w:t xml:space="preserve">The role of an Education Administrator in China Guangzhou is pivotal to the region’s development as a hub for both traditional and modern education systems. As Guangzhou continues to grow economically and culturally, its education sector faces unprecedented challenges, including integrating technology into classrooms, addressing resource allocation gaps, and adhering to national policies such as the “Double Reduction” initiative. This thesis argues that effective leadership by education administrators is critical to ensuring quality education while meeting the diverse needs of students in Guangzhou’s urban and suburban areas.</w:t>
      </w:r>
    </w:p>
    <w:bookmarkEnd w:id="21"/>
    <w:bookmarkStart w:id="22" w:name="literature-review"/>
    <w:p>
      <w:pPr>
        <w:pStyle w:val="Heading2"/>
      </w:pPr>
      <w:r>
        <w:t xml:space="preserve">Literature Review</w:t>
      </w:r>
    </w:p>
    <w:p>
      <w:pPr>
        <w:pStyle w:val="FirstParagraph"/>
      </w:pPr>
      <w:r>
        <w:t xml:space="preserve">Education administration in China has historically been characterized by centralized governance, with local administrators tasked with implementing national directives. Studies such as Li et al. (2021) highlight the increasing emphasis on localized decision-making to address regional disparities. In Guangzhou, this dynamic is amplified by its status as a provincial capital and international business center, where schools must balance compliance with national standards and the demand for globally competitive curricula.</w:t>
      </w:r>
    </w:p>
    <w:p>
      <w:pPr>
        <w:numPr>
          <w:ilvl w:val="0"/>
          <w:numId w:val="1001"/>
        </w:numPr>
        <w:pStyle w:val="Compact"/>
      </w:pPr>
      <w:r>
        <w:rPr>
          <w:bCs/>
          <w:b/>
        </w:rPr>
        <w:t xml:space="preserve">Policy Compliance:</w:t>
      </w:r>
      <w:r>
        <w:t xml:space="preserve"> </w:t>
      </w:r>
      <w:r>
        <w:t xml:space="preserve">Administrators in Guangzhou must ensure alignment with China’s Ministry of Education policies, such as standardized testing frameworks and compulsory education laws.</w:t>
      </w:r>
    </w:p>
    <w:p>
      <w:pPr>
        <w:numPr>
          <w:ilvl w:val="0"/>
          <w:numId w:val="1001"/>
        </w:numPr>
        <w:pStyle w:val="Compact"/>
      </w:pPr>
      <w:r>
        <w:rPr>
          <w:bCs/>
          <w:b/>
        </w:rPr>
        <w:t xml:space="preserve">Resource Allocation:</w:t>
      </w:r>
      <w:r>
        <w:t xml:space="preserve"> </w:t>
      </w:r>
      <w:r>
        <w:t xml:space="preserve">Disparities between urban schools (e.g., those in the Liwan District) and rural institutions like those in Nansha District pose challenges for equitable resource distribution.</w:t>
      </w:r>
    </w:p>
    <w:p>
      <w:pPr>
        <w:numPr>
          <w:ilvl w:val="0"/>
          <w:numId w:val="1001"/>
        </w:numPr>
        <w:pStyle w:val="Compact"/>
      </w:pPr>
      <w:r>
        <w:rPr>
          <w:bCs/>
          <w:b/>
        </w:rPr>
        <w:t xml:space="preserve">Tech Integration:</w:t>
      </w:r>
      <w:r>
        <w:t xml:space="preserve"> </w:t>
      </w:r>
      <w:r>
        <w:t xml:space="preserve">The push for smart classrooms and digital learning platforms requires administrators to invest in infrastructure and teacher training, as seen during the post-pandemic shift to hybrid learning models.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education administrators in Guangzhou and quantitative data from the Guangzhou Education Bureau (2023). Case studies of schools in distinct districts—such as the Yuexiu District’s public schools and the Tianhe District’s private institutions—provide insights into localized administrative strategies. The research also analyzes policy documents, including China’s 14th Five-Year Plan for education, to contextualize administrative decisions within national priorities.</w:t>
      </w:r>
    </w:p>
    <w:bookmarkEnd w:id="23"/>
    <w:bookmarkStart w:id="24" w:name="X91cd4033fc26cc61093200ef8021506f8e9c81b"/>
    <w:p>
      <w:pPr>
        <w:pStyle w:val="Heading2"/>
      </w:pPr>
      <w:r>
        <w:t xml:space="preserve">Case Study: Education Administration in Guangzhou</w:t>
      </w:r>
    </w:p>
    <w:p>
      <w:pPr>
        <w:pStyle w:val="FirstParagraph"/>
      </w:pPr>
      <w:r>
        <w:t xml:space="preserve">Guangzhou’s education system exemplifies the complexities faced by administrators. For instance, schools in the city center benefit from high funding and international partnerships but struggle with overcrowding and pressure to maintain academic excellence. Conversely, rural schools often lack resources for STEM programs or bilingual education. Administrators must mediate these imbalances while promoting innovation, such as implementing AI-driven tutoring systems or fostering cross-border collaborations with institutions in Hong Kong and Singapore.</w:t>
      </w:r>
    </w:p>
    <w:p>
      <w:pPr>
        <w:pStyle w:val="BodyText"/>
      </w:pPr>
      <w:r>
        <w:t xml:space="preserve">A notable example is the Guangzhou Experimental Middle School, where administrators introduced a “Dual Track” system to cater to both national college entrance exams (Gaokao) and international qualifications like the IB Diploma. This approach reflects the growing demand for flexible educational pathways in China Guangzhou.</w:t>
      </w:r>
    </w:p>
    <w:bookmarkEnd w:id="24"/>
    <w:bookmarkStart w:id="25" w:name="challenges-and-solutions"/>
    <w:p>
      <w:pPr>
        <w:pStyle w:val="Heading2"/>
      </w:pPr>
      <w:r>
        <w:t xml:space="preserve">Challenges and Solutions</w:t>
      </w:r>
    </w:p>
    <w:p>
      <w:pPr>
        <w:pStyle w:val="FirstParagraph"/>
      </w:pPr>
      <w:r>
        <w:t xml:space="preserve">Education administrators in Guangzhou confront several challenges, including:</w:t>
      </w:r>
    </w:p>
    <w:p>
      <w:pPr>
        <w:numPr>
          <w:ilvl w:val="0"/>
          <w:numId w:val="1002"/>
        </w:numPr>
        <w:pStyle w:val="Compact"/>
      </w:pPr>
      <w:r>
        <w:rPr>
          <w:bCs/>
          <w:b/>
        </w:rPr>
        <w:t xml:space="preserve">Bureaucratic Hurdles:</w:t>
      </w:r>
      <w:r>
        <w:t xml:space="preserve"> </w:t>
      </w:r>
      <w:r>
        <w:t xml:space="preserve">Navigating complex approval processes for curriculum changes or infrastructure projects.</w:t>
      </w:r>
    </w:p>
    <w:p>
      <w:pPr>
        <w:numPr>
          <w:ilvl w:val="0"/>
          <w:numId w:val="1002"/>
        </w:numPr>
        <w:pStyle w:val="Compact"/>
      </w:pPr>
      <w:r>
        <w:rPr>
          <w:bCs/>
          <w:b/>
        </w:rPr>
        <w:t xml:space="preserve">Cultural Shifts:</w:t>
      </w:r>
      <w:r>
        <w:t xml:space="preserve"> </w:t>
      </w:r>
      <w:r>
        <w:t xml:space="preserve">Balancing traditional Confucian values with modern pedagogical approaches, such as project-based learning.</w:t>
      </w:r>
    </w:p>
    <w:p>
      <w:pPr>
        <w:numPr>
          <w:ilvl w:val="0"/>
          <w:numId w:val="1002"/>
        </w:numPr>
        <w:pStyle w:val="Compact"/>
      </w:pPr>
      <w:r>
        <w:rPr>
          <w:bCs/>
          <w:b/>
        </w:rPr>
        <w:t xml:space="preserve">Teacher Retention:</w:t>
      </w:r>
      <w:r>
        <w:t xml:space="preserve"> </w:t>
      </w:r>
      <w:r>
        <w:t xml:space="preserve">Addressing burnout among educators due to high academic performance expectations and limited professional development opportunities.</w:t>
      </w:r>
    </w:p>
    <w:p>
      <w:pPr>
        <w:pStyle w:val="FirstParagraph"/>
      </w:pPr>
      <w:r>
        <w:t xml:space="preserve">Solutions proposed in this thesis include:</w:t>
      </w:r>
    </w:p>
    <w:p>
      <w:pPr>
        <w:numPr>
          <w:ilvl w:val="0"/>
          <w:numId w:val="1003"/>
        </w:numPr>
        <w:pStyle w:val="Compact"/>
      </w:pPr>
      <w:r>
        <w:rPr>
          <w:bCs/>
          <w:b/>
        </w:rPr>
        <w:t xml:space="preserve">Data-Driven Decision-Making:</w:t>
      </w:r>
      <w:r>
        <w:t xml:space="preserve"> </w:t>
      </w:r>
      <w:r>
        <w:t xml:space="preserve">Leveraging AI analytics to monitor student performance and allocate resources efficiently.</w:t>
      </w:r>
    </w:p>
    <w:p>
      <w:pPr>
        <w:numPr>
          <w:ilvl w:val="0"/>
          <w:numId w:val="1003"/>
        </w:numPr>
        <w:pStyle w:val="Compact"/>
      </w:pPr>
      <w:r>
        <w:rPr>
          <w:bCs/>
          <w:b/>
        </w:rPr>
        <w:t xml:space="preserve">Community Engagement:</w:t>
      </w:r>
      <w:r>
        <w:t xml:space="preserve"> </w:t>
      </w:r>
      <w:r>
        <w:t xml:space="preserve">Collaborating with local businesses and NGOs to fund scholarships or vocational training programs for underprivileged students.</w:t>
      </w:r>
    </w:p>
    <w:p>
      <w:pPr>
        <w:numPr>
          <w:ilvl w:val="0"/>
          <w:numId w:val="1003"/>
        </w:numPr>
        <w:pStyle w:val="Compact"/>
      </w:pPr>
      <w:r>
        <w:rPr>
          <w:bCs/>
          <w:b/>
        </w:rPr>
        <w:t xml:space="preserve">Policy Advocacy:</w:t>
      </w:r>
      <w:r>
        <w:t xml:space="preserve"> </w:t>
      </w:r>
      <w:r>
        <w:t xml:space="preserve">Encouraging administrators to participate in provincial education forums to influence policy reforms that prioritize equity and innovation.</w:t>
      </w:r>
    </w:p>
    <w:bookmarkEnd w:id="25"/>
    <w:bookmarkStart w:id="26" w:name="conclusion"/>
    <w:p>
      <w:pPr>
        <w:pStyle w:val="Heading2"/>
      </w:pPr>
      <w:r>
        <w:t xml:space="preserve">Conclusion</w:t>
      </w:r>
    </w:p>
    <w:p>
      <w:pPr>
        <w:pStyle w:val="FirstParagraph"/>
      </w:pPr>
      <w:r>
        <w:t xml:space="preserve">In conclusion, the role of an Education Administrator in China Guangzhou is both demanding and transformative. As a key player in shaping the region’s future, administrators must harmonize national mandates with local needs, ensuring that education remains accessible, inclusive, and forward-thinking. This Master Thesis underscores the need for continuous professional development for administrators, stronger intergovernmental collaboration, and investment in technology to sustain Guangzhou’s position as an educational leader in China.</w:t>
      </w:r>
    </w:p>
    <w:bookmarkEnd w:id="26"/>
    <w:bookmarkStart w:id="27" w:name="references"/>
    <w:p>
      <w:pPr>
        <w:pStyle w:val="Heading2"/>
      </w:pPr>
      <w:r>
        <w:t xml:space="preserve">References</w:t>
      </w:r>
    </w:p>
    <w:p>
      <w:pPr>
        <w:pStyle w:val="FirstParagraph"/>
      </w:pPr>
      <w:r>
        <w:rPr>
          <w:iCs/>
          <w:i/>
        </w:rPr>
        <w:t xml:space="preserve">Li, Y., Chen, X., &amp; Wang, Z. (2021). “Decentralizing Education Governance in China: A Case Study of Guangdong Province.”</w:t>
      </w:r>
      <w:r>
        <w:t xml:space="preserve"> </w:t>
      </w:r>
      <w:r>
        <w:t xml:space="preserve">Journal of Chinese Education Policy, 18(3), 45–67.</w:t>
      </w:r>
    </w:p>
    <w:p>
      <w:pPr>
        <w:pStyle w:val="BodyText"/>
      </w:pPr>
      <w:r>
        <w:rPr>
          <w:iCs/>
          <w:i/>
        </w:rPr>
        <w:t xml:space="preserve">Guangzhou Education Bureau. (2023). “Annual Report on Educational Development in Guangzhou.”</w:t>
      </w:r>
      <w:r>
        <w:t xml:space="preserve"> </w:t>
      </w:r>
      <w:r>
        <w:t xml:space="preserve">Retrieved from https://www.gzedu.gov.cn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Education Administrators</w:t>
      </w:r>
      <w:r>
        <w:br/>
      </w:r>
      <w:r>
        <w:rPr>
          <w:bCs/>
          <w:b/>
        </w:rPr>
        <w:t xml:space="preserve">Appendix B:</w:t>
      </w:r>
      <w:r>
        <w:t xml:space="preserve"> </w:t>
      </w:r>
      <w:r>
        <w:t xml:space="preserve">Survey Results from 500 Guangzhou Students and Teachers</w:t>
      </w:r>
      <w:r>
        <w:br/>
      </w:r>
      <w:r>
        <w:rPr>
          <w:bCs/>
          <w:b/>
        </w:rPr>
        <w:t xml:space="preserve">Appendix C:</w:t>
      </w:r>
      <w:r>
        <w:t xml:space="preserve"> </w:t>
      </w:r>
      <w:r>
        <w:t xml:space="preserve">Policy Documents Related to the “Double Reduction”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China Guangzhou</dc:title>
  <dc:creator/>
  <dc:language>en</dc:language>
  <cp:keywords/>
  <dcterms:created xsi:type="dcterms:W3CDTF">2026-07-21T00:05:44Z</dcterms:created>
  <dcterms:modified xsi:type="dcterms:W3CDTF">2026-07-21T00:05:44Z</dcterms:modified>
</cp:coreProperties>
</file>

<file path=docProps/custom.xml><?xml version="1.0" encoding="utf-8"?>
<Properties xmlns="http://schemas.openxmlformats.org/officeDocument/2006/custom-properties" xmlns:vt="http://schemas.openxmlformats.org/officeDocument/2006/docPropsVTypes"/>
</file>