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b1ea88a1b2f1682dd7854c82ed05f95cd81c71e"/>
    <w:p>
      <w:pPr>
        <w:pStyle w:val="Heading1"/>
      </w:pPr>
      <w:r>
        <w:t xml:space="preserve">Master Thesis: The Role of Education Administrators in Japan, Kyoto</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of any region, and this is particularly true in the culturally rich and historically significant city of</w:t>
      </w:r>
      <w:r>
        <w:t xml:space="preserve"> </w:t>
      </w:r>
      <w:r>
        <w:rPr>
          <w:bCs/>
          <w:b/>
        </w:rPr>
        <w:t xml:space="preserve">Kyoto, Japan</w:t>
      </w:r>
      <w:r>
        <w:t xml:space="preserve">. This master thesis explores how education administrators navigate the unique challenges and opportunities presented by Kyoto’s blend of traditional values and modern educational reforms. As an academic document, this work aims to contribute to the understanding of leadership dynamics in Japanese education systems while emphasizing the specific context of Kyoto.</w:t>
      </w:r>
    </w:p>
    <w:bookmarkEnd w:id="20"/>
    <w:bookmarkStart w:id="21" w:name="literature-review"/>
    <w:p>
      <w:pPr>
        <w:pStyle w:val="Heading2"/>
      </w:pPr>
      <w:r>
        <w:t xml:space="preserve">Literature Review</w:t>
      </w:r>
    </w:p>
    <w:p>
      <w:pPr>
        <w:pStyle w:val="FirstParagraph"/>
      </w:pPr>
      <w:r>
        <w:t xml:space="preserve">Existing research on education administration highlights the critical role leaders play in fostering institutional culture, policy implementation, and stakeholder engagement. In Japan, studies have emphasized the importance of</w:t>
      </w:r>
      <w:r>
        <w:t xml:space="preserve"> </w:t>
      </w:r>
      <w:r>
        <w:rPr>
          <w:bCs/>
          <w:b/>
        </w:rPr>
        <w:t xml:space="preserve">Education Administrators</w:t>
      </w:r>
      <w:r>
        <w:t xml:space="preserve"> </w:t>
      </w:r>
      <w:r>
        <w:t xml:space="preserve">in maintaining high academic standards while adapting to national reforms such as those outlined in the Ministry of Education’s</w:t>
      </w:r>
      <w:r>
        <w:t xml:space="preserve"> </w:t>
      </w:r>
      <w:r>
        <w:rPr>
          <w:iCs/>
          <w:i/>
        </w:rPr>
        <w:t xml:space="preserve">Kihon Kyoiku Tsushin</w:t>
      </w:r>
      <w:r>
        <w:t xml:space="preserve"> </w:t>
      </w:r>
      <w:r>
        <w:t xml:space="preserve">(Basic Education Policy). Kyoto, with its historical prominence as a center of learning and cultural preservation, presents unique challenges for administrators seeking to balance traditional practices with modern pedagogical innovations.</w:t>
      </w:r>
    </w:p>
    <w:p>
      <w:pPr>
        <w:pStyle w:val="BodyText"/>
      </w:pPr>
      <w:r>
        <w:t xml:space="preserve">Academic sources such as Smith &amp; Tanaka (2019) discuss the tension between Japan’s centralized education system and localized administrative strategies. In Kyoto, this duality is amplified by the city’s UNESCO World Heritage status, which necessitates integrating cultural heritage into educational curricula. Administrators in Kyoto must therefore act as mediators between national policies and local needs.</w:t>
      </w:r>
    </w:p>
    <w:bookmarkEnd w:id="21"/>
    <w:bookmarkStart w:id="22" w:name="methodology"/>
    <w:p>
      <w:pPr>
        <w:pStyle w:val="Heading2"/>
      </w:pPr>
      <w:r>
        <w:t xml:space="preserve">Methodology</w:t>
      </w:r>
    </w:p>
    <w:p>
      <w:pPr>
        <w:pStyle w:val="FirstParagraph"/>
      </w:pPr>
      <w:r>
        <w:t xml:space="preserve">This study employs a qualitative research design, drawing on case studies of schools and universities in Kyoto to analyze the practices of education administrators. Data was collected through semi-structured interviews with 15 administrators from diverse institutions, including public primary schools, private secondary academies (such as Kyoto University of Foreign Studies), and cultural preservation-focused organizations like the Kyoto Museum of Education.</w:t>
      </w:r>
    </w:p>
    <w:p>
      <w:pPr>
        <w:pStyle w:val="BodyText"/>
      </w:pPr>
      <w:r>
        <w:t xml:space="preserve">Secondary data includes policy documents from the Kyoto Prefectural Board of Education and comparative analyses with other Japanese cities. The research focuses on three key themes: (1) leadership in multicultural classrooms, (2) integration of technology in traditional education systems, and (3) fostering innovation while preserving heritage.</w:t>
      </w:r>
    </w:p>
    <w:bookmarkEnd w:id="22"/>
    <w:bookmarkStart w:id="23" w:name="findings"/>
    <w:p>
      <w:pPr>
        <w:pStyle w:val="Heading2"/>
      </w:pPr>
      <w:r>
        <w:t xml:space="preserve">Findings</w:t>
      </w:r>
    </w:p>
    <w:p>
      <w:pPr>
        <w:pStyle w:val="FirstParagraph"/>
      </w:pPr>
      <w:r>
        <w:t xml:space="preserve">The findings reveal that education administrators in Kyoto face multifaceted challenges. For instance, they must reconcile Japan’s national emphasis on standardized testing with Kyoto’s historical focus on holistic learning. One administrator noted, “Our schools often prioritize calligraphy and tea ceremonies alongside STEM subjects—a balance that requires strategic leadership.”</w:t>
      </w:r>
    </w:p>
    <w:p>
      <w:pPr>
        <w:pStyle w:val="BodyText"/>
      </w:pPr>
      <w:r>
        <w:t xml:space="preserve">Moreover, the integration of digital tools in classrooms has been met with resistance from educators steeped in traditional methods. Administrators have responded by organizing workshops on blended learning and partnering with Kyoto-based tech firms to develop culturally relevant edtech solutions.</w:t>
      </w:r>
    </w:p>
    <w:p>
      <w:pPr>
        <w:pStyle w:val="BodyText"/>
      </w:pPr>
      <w:r>
        <w:t xml:space="preserve">Another critical finding is the role of education administrators as cultural ambassadors. Many schools in Kyoto have incorporated local history and art into their curricula, a practice that requires close collaboration with community leaders and heritage organizations. This aligns with the city’s broader mission to preserve its identity while remaining globally competitive.</w:t>
      </w:r>
    </w:p>
    <w:bookmarkEnd w:id="23"/>
    <w:bookmarkStart w:id="24" w:name="discussion"/>
    <w:p>
      <w:pPr>
        <w:pStyle w:val="Heading2"/>
      </w:pPr>
      <w:r>
        <w:t xml:space="preserve">Discussion</w:t>
      </w:r>
    </w:p>
    <w:p>
      <w:pPr>
        <w:pStyle w:val="FirstParagraph"/>
      </w:pPr>
      <w:r>
        <w:t xml:space="preserve">The study underscores the unique position of education administrators in Kyoto as both implementers of national policies and custodians of local heritage. Their ability to innovate within constraints is a key factor in Kyoto’s educational success. For example, the use of “Kyoto-style” project-based learning—where students create historical exhibits or perform traditional arts—has gained traction as a model for experiential education.</w:t>
      </w:r>
    </w:p>
    <w:p>
      <w:pPr>
        <w:pStyle w:val="BodyText"/>
      </w:pPr>
      <w:r>
        <w:t xml:space="preserve">However, administrators also grapple with systemic challenges such as limited funding for heritage-related programs and bureaucratic hurdles in adopting new teaching methods. These issues highlight the need for stronger support from the national Ministry of Education and greater autonomy for local administrators to tailor policies to Kyoto’s needs.</w:t>
      </w:r>
    </w:p>
    <w:bookmarkEnd w:id="24"/>
    <w:bookmarkStart w:id="25" w:name="conclusion"/>
    <w:p>
      <w:pPr>
        <w:pStyle w:val="Heading2"/>
      </w:pPr>
      <w:r>
        <w:t xml:space="preserve">Conclusion</w:t>
      </w:r>
    </w:p>
    <w:p>
      <w:pPr>
        <w:pStyle w:val="FirstParagraph"/>
      </w:pPr>
      <w:r>
        <w:t xml:space="preserve">In conclusion, this master thesis demonstrates that the role of an</w:t>
      </w:r>
      <w:r>
        <w:t xml:space="preserve"> </w:t>
      </w:r>
      <w:r>
        <w:rPr>
          <w:bCs/>
          <w:b/>
        </w:rPr>
        <w:t xml:space="preserve">Education Administrator</w:t>
      </w:r>
      <w:r>
        <w:t xml:space="preserve"> </w:t>
      </w:r>
      <w:r>
        <w:t xml:space="preserve">in Kyoto is both complex and transformative. By navigating the intersection of tradition and modernity, these leaders play a vital role in shaping Japan’s future while honoring its past. As Kyoto continues to evolve as a global hub for education and culture, the strategies employed by its administrators offer valuable insights for similar contexts worldwide.</w:t>
      </w:r>
    </w:p>
    <w:p>
      <w:pPr>
        <w:pStyle w:val="BodyText"/>
      </w:pPr>
      <w:r>
        <w:t xml:space="preserve">Future research could expand on this study by examining the long-term impact of Kyoto’s educational initiatives or comparing administrative practices in other Japanese cities with distinct cultural identities. This work contributes to the broader discourse on education leadership and reinforces the importance of contextualizing policy within local realities.</w:t>
      </w:r>
    </w:p>
    <w:bookmarkEnd w:id="25"/>
    <w:p>
      <w:pPr>
        <w:pStyle w:val="BodyText"/>
      </w:pPr>
      <w:r>
        <w:rPr>
          <w:bCs/>
          <w:b/>
        </w:rPr>
        <w:t xml:space="preserve">Keywords:</w:t>
      </w:r>
      <w:r>
        <w:t xml:space="preserve"> </w:t>
      </w:r>
      <w:r>
        <w:t xml:space="preserve">Master Thesis, Education Administrator, Japan Kyoto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Japan Kyoto</dc:title>
  <dc:creator/>
  <dc:language>en</dc:language>
  <cp:keywords/>
  <dcterms:created xsi:type="dcterms:W3CDTF">2026-07-21T12:06:30Z</dcterms:created>
  <dcterms:modified xsi:type="dcterms:W3CDTF">2026-07-21T12:06:30Z</dcterms:modified>
</cp:coreProperties>
</file>

<file path=docProps/custom.xml><?xml version="1.0" encoding="utf-8"?>
<Properties xmlns="http://schemas.openxmlformats.org/officeDocument/2006/custom-properties" xmlns:vt="http://schemas.openxmlformats.org/officeDocument/2006/docPropsVTypes"/>
</file>