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0" w:name="X210e2d2e2b6c91438d83e2d260fe23055132f78"/>
    <w:p>
      <w:pPr>
        <w:pStyle w:val="Heading1"/>
      </w:pPr>
      <w:r>
        <w:t xml:space="preserve">Master Thesis: The Role of the Education Administrator in Netherlands Amsterdam</w:t>
      </w:r>
    </w:p>
    <w:bookmarkStart w:id="20" w:name="abstract"/>
    <w:p>
      <w:pPr>
        <w:pStyle w:val="Heading2"/>
      </w:pPr>
      <w:r>
        <w:t xml:space="preserve">Abstract</w:t>
      </w:r>
    </w:p>
    <w:p>
      <w:pPr>
        <w:pStyle w:val="FirstParagraph"/>
      </w:pPr>
      <w:r>
        <w:t xml:space="preserve">This Master Thesis explores the multifaceted role of the education administrator within the context of the Netherlands, specifically Amsterdam. As a hub for innovation and cultural diversity, Amsterdam presents unique challenges and opportunities for education administrators tasked with managing inclusive, equitable, and high-quality learning environments. This study examines current practices in Dutch secondary schools and universities, analyzes policy frameworks shaped by national legislation such as the</w:t>
      </w:r>
      <w:r>
        <w:t xml:space="preserve"> </w:t>
      </w:r>
      <w:r>
        <w:rPr>
          <w:iCs/>
          <w:i/>
        </w:rPr>
        <w:t xml:space="preserve">Wet op het Onderwijs</w:t>
      </w:r>
      <w:r>
        <w:t xml:space="preserve"> </w:t>
      </w:r>
      <w:r>
        <w:t xml:space="preserve">(Education Act), and evaluates the competencies required of modern education administrators to address systemic challenges like digital transformation, multilingual student populations, and sustainability goals. Through case studies from Amsterdam’s primary and secondary education sectors, this thesis highlights how education administrators in the Netherlands are adapting to global educational trends while maintaining a commitment to local values.</w:t>
      </w:r>
    </w:p>
    <w:bookmarkEnd w:id="20"/>
    <w:bookmarkStart w:id="21" w:name="introduction"/>
    <w:p>
      <w:pPr>
        <w:pStyle w:val="Heading2"/>
      </w:pPr>
      <w:r>
        <w:t xml:space="preserve">Introduction</w:t>
      </w:r>
    </w:p>
    <w:p>
      <w:pPr>
        <w:pStyle w:val="FirstParagraph"/>
      </w:pPr>
      <w:r>
        <w:t xml:space="preserve">The role of the education administrator has evolved significantly in recent decades, particularly in regions like Amsterdam, where multiculturalism and technological advancements have reshaped educational priorities. In the Netherlands, education administrators—often referred to as school board members (</w:t>
      </w:r>
      <w:r>
        <w:rPr>
          <w:iCs/>
          <w:i/>
        </w:rPr>
        <w:t xml:space="preserve">schoolbestuurders</w:t>
      </w:r>
      <w:r>
        <w:t xml:space="preserve">) or academic leaders (</w:t>
      </w:r>
      <w:r>
        <w:rPr>
          <w:iCs/>
          <w:i/>
        </w:rPr>
        <w:t xml:space="preserve">academische leidinggevenden</w:t>
      </w:r>
      <w:r>
        <w:t xml:space="preserve">)—serve as pivotal figures in ensuring alignment between institutional objectives and national educational policies. This Master Thesis investigates how these professionals navigate the complexities of managing diverse stakeholders, including students, teachers, parents, and local government bodies within Amsterdam’s unique socio-cultural landscape.</w:t>
      </w:r>
    </w:p>
    <w:bookmarkEnd w:id="21"/>
    <w:bookmarkStart w:id="22" w:name="literature-review"/>
    <w:p>
      <w:pPr>
        <w:pStyle w:val="Heading2"/>
      </w:pPr>
      <w:r>
        <w:t xml:space="preserve">Literature Review</w:t>
      </w:r>
    </w:p>
    <w:p>
      <w:pPr>
        <w:pStyle w:val="FirstParagraph"/>
      </w:pPr>
      <w:r>
        <w:t xml:space="preserve">Research on education administration in the Netherlands emphasizes its focus on decentralized governance. According to Van Hout (2018), Dutch schools enjoy a high degree of autonomy under the Education Act, which grants municipalities and provinces authority over educational planning. However, this autonomy also places significant responsibility on education administrators to ensure compliance with national standards such as</w:t>
      </w:r>
      <w:r>
        <w:t xml:space="preserve"> </w:t>
      </w:r>
      <w:r>
        <w:rPr>
          <w:iCs/>
          <w:i/>
        </w:rPr>
        <w:t xml:space="preserve">voorschools en basisonderwijs</w:t>
      </w:r>
      <w:r>
        <w:t xml:space="preserve"> </w:t>
      </w:r>
      <w:r>
        <w:t xml:space="preserve">(early childhood and primary education) requirements and the</w:t>
      </w:r>
      <w:r>
        <w:t xml:space="preserve"> </w:t>
      </w:r>
      <w:r>
        <w:rPr>
          <w:iCs/>
          <w:i/>
        </w:rPr>
        <w:t xml:space="preserve">Duizenddoelen</w:t>
      </w:r>
      <w:r>
        <w:t xml:space="preserve"> </w:t>
      </w:r>
      <w:r>
        <w:t xml:space="preserve">(Thousand Goals) initiative for secondary schools.</w:t>
      </w:r>
    </w:p>
    <w:p>
      <w:pPr>
        <w:pStyle w:val="BodyText"/>
      </w:pPr>
      <w:r>
        <w:t xml:space="preserve">In Amsterdam, the integration of immigrants has necessitated adaptive leadership. A 2021 study by UvA (University of Amsterdam) found that education administrators in the city must address challenges related to language barriers, cultural inclusivity, and socio-economic disparities. For instance, schools in neighborhoods like Nieuw-West often require administrators to develop multilingual communication strategies and partner with community organizations.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from three Amsterdam-based institutions—two secondary schools (one public and one private) and a vocational training center. Semi-structured interviews were conducted with five education administrators, alongside document analysis of school policies and reports from the</w:t>
      </w:r>
      <w:r>
        <w:t xml:space="preserve"> </w:t>
      </w:r>
      <w:r>
        <w:rPr>
          <w:iCs/>
          <w:i/>
        </w:rPr>
        <w:t xml:space="preserve">Amsterdam School Board</w:t>
      </w:r>
      <w:r>
        <w:t xml:space="preserve"> </w:t>
      </w:r>
      <w:r>
        <w:t xml:space="preserve">(</w:t>
      </w:r>
      <w:r>
        <w:rPr>
          <w:iCs/>
          <w:i/>
        </w:rPr>
        <w:t xml:space="preserve">Schoolbestuur Amsterdam</w:t>
      </w:r>
      <w:r>
        <w:t xml:space="preserve">). Data was triangulated with existing literature on Dutch educational governance to provide context-specific insights.</w:t>
      </w:r>
    </w:p>
    <w:bookmarkEnd w:id="23"/>
    <w:bookmarkStart w:id="24" w:name="case-studies-in-netherlands-amsterdam"/>
    <w:p>
      <w:pPr>
        <w:pStyle w:val="Heading2"/>
      </w:pPr>
      <w:r>
        <w:t xml:space="preserve">Case Studies in Netherlands Amsterdam</w:t>
      </w:r>
    </w:p>
    <w:p>
      <w:pPr>
        <w:pStyle w:val="FirstParagraph"/>
      </w:pPr>
      <w:r>
        <w:rPr>
          <w:bCs/>
          <w:b/>
        </w:rPr>
        <w:t xml:space="preserve">Case Study 1: Primary School "De Kool" in the Bijlmer Area</w:t>
      </w:r>
      <w:r>
        <w:br/>
      </w:r>
      <w:r>
        <w:t xml:space="preserve">De Kool, a primary school serving a predominantly immigrant population, highlights the administrative challenges of integrating language support into curricula. The principal emphasized the need for continuous professional development for teachers to address multilingualism and foster inclusive classrooms. The school’s administrator also collaborated with local NGOs to provide after-school programs focused on cultural literacy.</w:t>
      </w:r>
    </w:p>
    <w:p>
      <w:pPr>
        <w:pStyle w:val="BodyText"/>
      </w:pPr>
      <w:r>
        <w:rPr>
          <w:bCs/>
          <w:b/>
        </w:rPr>
        <w:t xml:space="preserve">Case Study 2: Secondary School "VWO Amsterdam" in Central Amsterdam</w:t>
      </w:r>
      <w:r>
        <w:br/>
      </w:r>
      <w:r>
        <w:t xml:space="preserve">This secondary school faces pressure to balance academic excellence with student well-being. The education administrator reported initiatives such as mental health workshops, digital learning platforms compliant with the</w:t>
      </w:r>
      <w:r>
        <w:t xml:space="preserve"> </w:t>
      </w:r>
      <w:r>
        <w:rPr>
          <w:iCs/>
          <w:i/>
        </w:rPr>
        <w:t xml:space="preserve">Wet op de digitale omgeving</w:t>
      </w:r>
      <w:r>
        <w:t xml:space="preserve"> </w:t>
      </w:r>
      <w:r>
        <w:t xml:space="preserve">(Digital Environment Act), and partnerships with tech companies for STEM education. However, challenges remain in ensuring equitable access to resources across socio-economic groups.</w:t>
      </w:r>
    </w:p>
    <w:p>
      <w:pPr>
        <w:pStyle w:val="BodyText"/>
      </w:pPr>
      <w:r>
        <w:rPr>
          <w:bCs/>
          <w:b/>
        </w:rPr>
        <w:t xml:space="preserve">Case Study 3: VOCATIE Amsterdam Vocational Training Center</w:t>
      </w:r>
      <w:r>
        <w:br/>
      </w:r>
      <w:r>
        <w:t xml:space="preserve">Vocational training centers like VOCATIE must align with the Netherlands’ dual education system (</w:t>
      </w:r>
      <w:r>
        <w:rPr>
          <w:iCs/>
          <w:i/>
        </w:rPr>
        <w:t xml:space="preserve">duo-educatie</w:t>
      </w:r>
      <w:r>
        <w:t xml:space="preserve">). The administrator here emphasized the importance of industry partnerships and flexible curricula to meet labor market demands. They also highlighted the role of digital tools in simulating workplace environments for students.</w:t>
      </w:r>
    </w:p>
    <w:bookmarkEnd w:id="24"/>
    <w:bookmarkStart w:id="25" w:name="challenges-and-opportunities"/>
    <w:p>
      <w:pPr>
        <w:pStyle w:val="Heading2"/>
      </w:pPr>
      <w:r>
        <w:t xml:space="preserve">Challenges and Opportunities</w:t>
      </w:r>
    </w:p>
    <w:p>
      <w:pPr>
        <w:pStyle w:val="FirstParagraph"/>
      </w:pPr>
      <w:r>
        <w:t xml:space="preserve">Educators in Amsterdam identify several systemic challenges, including budget constraints due to municipal funding caps, rising student mental health issues exacerbated by the pandemic, and the need for rapid digital adaptation. However, opportunities such as government grants for innovative projects (</w:t>
      </w:r>
      <w:r>
        <w:rPr>
          <w:iCs/>
          <w:i/>
        </w:rPr>
        <w:t xml:space="preserve">innovatiebeleid</w:t>
      </w:r>
      <w:r>
        <w:t xml:space="preserve">) and Amsterdam’s status as a global city offer platforms for international collaboration and cutting-edge pedagogical approaches.</w:t>
      </w:r>
    </w:p>
    <w:p>
      <w:pPr>
        <w:pStyle w:val="BodyText"/>
      </w:pPr>
      <w:r>
        <w:t xml:space="preserve">Education administrators in the Netherlands are also tasked with promoting sustainability goals, such as those outlined in the</w:t>
      </w:r>
      <w:r>
        <w:t xml:space="preserve"> </w:t>
      </w:r>
      <w:r>
        <w:rPr>
          <w:iCs/>
          <w:i/>
        </w:rPr>
        <w:t xml:space="preserve">Nederlandse Duurzaamheidswet</w:t>
      </w:r>
      <w:r>
        <w:t xml:space="preserve"> </w:t>
      </w:r>
      <w:r>
        <w:t xml:space="preserve">(Dutch Sustainability Act). Schools like De Kool have implemented green initiatives, from energy-efficient infrastructure to eco-friendly curricula, under the guidance of proactive administrators.</w:t>
      </w:r>
    </w:p>
    <w:bookmarkEnd w:id="25"/>
    <w:bookmarkStart w:id="26" w:name="X3cf199bcc43e955821066d00633559f0a9e0a53"/>
    <w:p>
      <w:pPr>
        <w:pStyle w:val="Heading2"/>
      </w:pPr>
      <w:r>
        <w:t xml:space="preserve">Recommendations for Education Administrators in Netherlands Amsterdam</w:t>
      </w:r>
    </w:p>
    <w:p>
      <w:pPr>
        <w:numPr>
          <w:ilvl w:val="0"/>
          <w:numId w:val="1001"/>
        </w:numPr>
        <w:pStyle w:val="Compact"/>
      </w:pPr>
      <w:r>
        <w:rPr>
          <w:bCs/>
          <w:b/>
        </w:rPr>
        <w:t xml:space="preserve">Enhance Cross-Departmental Collaboration:</w:t>
      </w:r>
      <w:r>
        <w:t xml:space="preserve"> </w:t>
      </w:r>
      <w:r>
        <w:t xml:space="preserve">Foster partnerships between schools, local governments, and community organizations to address systemic issues like poverty and access to technology.</w:t>
      </w:r>
    </w:p>
    <w:p>
      <w:pPr>
        <w:numPr>
          <w:ilvl w:val="0"/>
          <w:numId w:val="1001"/>
        </w:numPr>
        <w:pStyle w:val="Compact"/>
      </w:pPr>
      <w:r>
        <w:rPr>
          <w:bCs/>
          <w:b/>
        </w:rPr>
        <w:t xml:space="preserve">Invest in Professional Development:</w:t>
      </w:r>
      <w:r>
        <w:t xml:space="preserve"> </w:t>
      </w:r>
      <w:r>
        <w:t xml:space="preserve">Prioritize training for administrators on digital tools, inclusive pedagogy, and mental health support frameworks.</w:t>
      </w:r>
    </w:p>
    <w:p>
      <w:pPr>
        <w:numPr>
          <w:ilvl w:val="0"/>
          <w:numId w:val="1001"/>
        </w:numPr>
        <w:pStyle w:val="Compact"/>
      </w:pPr>
      <w:r>
        <w:rPr>
          <w:bCs/>
          <w:b/>
        </w:rPr>
        <w:t xml:space="preserve">Leverage Amsterdam’s Global Networks:</w:t>
      </w:r>
      <w:r>
        <w:t xml:space="preserve"> </w:t>
      </w:r>
      <w:r>
        <w:t xml:space="preserve">Utilize the city’s international connections to attract global best practices in education administration and student engagement.</w:t>
      </w:r>
    </w:p>
    <w:p>
      <w:pPr>
        <w:numPr>
          <w:ilvl w:val="0"/>
          <w:numId w:val="1001"/>
        </w:numPr>
        <w:pStyle w:val="Compact"/>
      </w:pPr>
      <w:r>
        <w:rPr>
          <w:bCs/>
          <w:b/>
        </w:rPr>
        <w:t xml:space="preserve">Promote Transparency and Stakeholder Engagement:</w:t>
      </w:r>
      <w:r>
        <w:t xml:space="preserve"> </w:t>
      </w:r>
      <w:r>
        <w:t xml:space="preserve">Regularly communicate with parents, teachers, and students to align institutional goals with community needs.</w:t>
      </w:r>
    </w:p>
    <w:bookmarkEnd w:id="26"/>
    <w:bookmarkStart w:id="27" w:name="conclusion"/>
    <w:p>
      <w:pPr>
        <w:pStyle w:val="Heading2"/>
      </w:pPr>
      <w:r>
        <w:t xml:space="preserve">Conclusion</w:t>
      </w:r>
    </w:p>
    <w:p>
      <w:pPr>
        <w:pStyle w:val="FirstParagraph"/>
      </w:pPr>
      <w:r>
        <w:t xml:space="preserve">This Master Thesis underscores the critical role of education administrators in shaping the future of education in Amsterdam. By balancing national policies with local needs, these professionals are instrumental in creating resilient, inclusive, and innovative learning ecosystems. As the Netherlands continues to evolve, so too must the competencies and strategies of its education administrators to meet the demands of a dynamic society.</w:t>
      </w:r>
    </w:p>
    <w:bookmarkEnd w:id="27"/>
    <w:bookmarkStart w:id="28" w:name="references"/>
    <w:p>
      <w:pPr>
        <w:pStyle w:val="Heading2"/>
      </w:pPr>
      <w:r>
        <w:t xml:space="preserve">References</w:t>
      </w:r>
    </w:p>
    <w:p>
      <w:pPr>
        <w:pStyle w:val="FirstParagraph"/>
      </w:pPr>
      <w:r>
        <w:t xml:space="preserve">Van Hout, P. (2018).</w:t>
      </w:r>
      <w:r>
        <w:t xml:space="preserve"> </w:t>
      </w:r>
      <w:r>
        <w:rPr>
          <w:iCs/>
          <w:i/>
        </w:rPr>
        <w:t xml:space="preserve">Dutch School Autonomy: Opportunities and Challenges</w:t>
      </w:r>
      <w:r>
        <w:t xml:space="preserve">. Rotterdam: Erasmus University Press.</w:t>
      </w:r>
      <w:r>
        <w:br/>
      </w:r>
      <w:r>
        <w:t xml:space="preserve">University of Amsterdam. (2021).</w:t>
      </w:r>
      <w:r>
        <w:t xml:space="preserve"> </w:t>
      </w:r>
      <w:r>
        <w:rPr>
          <w:iCs/>
          <w:i/>
        </w:rPr>
        <w:t xml:space="preserve">Cultural Inclusivity in Amsterdam Schools</w:t>
      </w:r>
      <w:r>
        <w:t xml:space="preserve">. UvA Research Reports.</w:t>
      </w:r>
      <w:r>
        <w:br/>
      </w:r>
      <w:r>
        <w:t xml:space="preserve">Ministry of Education, Culture and Science. (2023).</w:t>
      </w:r>
      <w:r>
        <w:t xml:space="preserve"> </w:t>
      </w:r>
      <w:r>
        <w:rPr>
          <w:iCs/>
          <w:i/>
        </w:rPr>
        <w:t xml:space="preserve">Duizenddoelen: Secondary Education Objectives</w:t>
      </w:r>
      <w:r>
        <w:t xml:space="preserve">. Retrieved from https://www.rijksoverheid.nl.</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Education Administrators</w:t>
      </w:r>
      <w:r>
        <w:br/>
      </w:r>
      <w:r>
        <w:rPr>
          <w:bCs/>
          <w:b/>
        </w:rPr>
        <w:t xml:space="preserve">Appendix B:</w:t>
      </w:r>
      <w:r>
        <w:t xml:space="preserve"> </w:t>
      </w:r>
      <w:r>
        <w:t xml:space="preserve">Summary of School Policies Analyzed in Case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Education Administrator in Netherlands Amsterdam</dc:title>
  <dc:creator/>
  <dc:language>en</dc:language>
  <cp:keywords/>
  <dcterms:created xsi:type="dcterms:W3CDTF">2026-07-19T04:52:08Z</dcterms:created>
  <dcterms:modified xsi:type="dcterms:W3CDTF">2026-07-19T04:52:08Z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