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4" w:name="X7086fc2fc7a7d9ea8c2c135a3c686c5c5031680"/>
    <w:p>
      <w:pPr>
        <w:pStyle w:val="Heading1"/>
      </w:pPr>
      <w:r>
        <w:t xml:space="preserve">Master Thesis: The Role of Education Administrators in New Zealand Auckland</w:t>
      </w:r>
    </w:p>
    <w:p>
      <w:pPr>
        <w:pStyle w:val="FirstParagraph"/>
      </w:pPr>
      <w:r>
        <w:t xml:space="preserve">Prepared for the Faculty of Education, University of Auckland</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education administrators in shaping the educational landscape of New Zealand Auckland. Focusing on leadership, policy implementation, and cultural responsiveness, this study examines how Education Administrators navigate challenges unique to Auckland’s diverse population. By analyzing case studies from primary, secondary, and tertiary institutions in the region, this research highlights strategies that foster inclusive education systems aligned with New Zealand’s national standards and Māori educational values.</w:t>
      </w:r>
    </w:p>
    <w:p>
      <w:r>
        <w:pict>
          <v:rect style="width:0;height:1.5pt" o:hralign="center" o:hrstd="t" o:hr="t"/>
        </w:pict>
      </w:r>
    </w:p>
    <w:bookmarkEnd w:id="20"/>
    <w:bookmarkStart w:id="22" w:name="introduction"/>
    <w:p>
      <w:pPr>
        <w:pStyle w:val="Heading2"/>
      </w:pPr>
      <w:r>
        <w:t xml:space="preserve">1. Introduction</w:t>
      </w:r>
    </w:p>
    <w:p>
      <w:pPr>
        <w:pStyle w:val="FirstParagraph"/>
      </w:pPr>
      <w:r>
        <w:t xml:space="preserve">Auckland, as the largest city in New Zealand, presents a dynamic environment for Education Administrators. With its multicultural population, rapid urbanization, and socio-economic disparities, the role of these administrators extends beyond traditional management to include cultural mediation and equity promotion. This thesis investigates how Education Administrators in Auckland address systemic challenges such as resource allocation, teacher retention, and alignment with the New Zealand Curriculum (NZC) while respecting Māori tikanga (customs) and te reo Māori (language).</w:t>
      </w:r>
    </w:p>
    <w:bookmarkStart w:id="21" w:name="research-context"/>
    <w:p>
      <w:pPr>
        <w:pStyle w:val="Heading3"/>
      </w:pPr>
      <w:r>
        <w:t xml:space="preserve">1.1 Research Context</w:t>
      </w:r>
    </w:p>
    <w:p>
      <w:pPr>
        <w:pStyle w:val="FirstParagraph"/>
      </w:pPr>
      <w:r>
        <w:t xml:space="preserve">New Zealand’s education system emphasizes biculturalism, with the Treaty of Waitangi principles embedded in policy frameworks. Auckland’s Education Administrators must balance these priorities with the demands of a globalized, tech-driven society. This study situates itself within this context to evaluate administrative practices that enhance educational outcomes for all students.</w:t>
      </w:r>
    </w:p>
    <w:p>
      <w:r>
        <w:pict>
          <v:rect style="width:0;height:1.5pt" o:hralign="center" o:hrstd="t" o:hr="t"/>
        </w:pict>
      </w:r>
    </w:p>
    <w:bookmarkEnd w:id="21"/>
    <w:bookmarkEnd w:id="22"/>
    <w:bookmarkStart w:id="24" w:name="literature-review"/>
    <w:p>
      <w:pPr>
        <w:pStyle w:val="Heading2"/>
      </w:pPr>
      <w:r>
        <w:t xml:space="preserve">2. Literature Review</w:t>
      </w:r>
    </w:p>
    <w:p>
      <w:pPr>
        <w:pStyle w:val="FirstParagraph"/>
      </w:pPr>
      <w:r>
        <w:t xml:space="preserve">Existing literature underscores the pivotal role of Education Administrators in shaping school cultures, driving pedagogical innovation, and ensuring compliance with national education policies. In New Zealand, research by the Ministry of Education (MoE) highlights the need for administrators to address disparities in student achievement among Māori and Pacific Islander communities. Auckland’s unique demographic profile necessitates tailored approaches to leadership that reflect both local challenges and national goals.</w:t>
      </w:r>
    </w:p>
    <w:bookmarkStart w:id="23" w:name="leadership-styles-in-auckland"/>
    <w:p>
      <w:pPr>
        <w:pStyle w:val="Heading3"/>
      </w:pPr>
      <w:r>
        <w:t xml:space="preserve">2.1 Leadership Styles in Auckland</w:t>
      </w:r>
    </w:p>
    <w:p>
      <w:pPr>
        <w:numPr>
          <w:ilvl w:val="0"/>
          <w:numId w:val="1001"/>
        </w:numPr>
        <w:pStyle w:val="Compact"/>
      </w:pPr>
      <w:r>
        <w:rPr>
          <w:bCs/>
          <w:b/>
        </w:rPr>
        <w:t xml:space="preserve">Transformational Leadership:</w:t>
      </w:r>
      <w:r>
        <w:t xml:space="preserve"> </w:t>
      </w:r>
      <w:r>
        <w:t xml:space="preserve">Emphasizes vision and empowerment, as seen in Auckland’s decile 1 schools addressing resource gaps.</w:t>
      </w:r>
    </w:p>
    <w:p>
      <w:pPr>
        <w:numPr>
          <w:ilvl w:val="0"/>
          <w:numId w:val="1001"/>
        </w:numPr>
        <w:pStyle w:val="Compact"/>
      </w:pPr>
      <w:r>
        <w:rPr>
          <w:bCs/>
          <w:b/>
        </w:rPr>
        <w:t xml:space="preserve">Cultural Responsiveness:</w:t>
      </w:r>
      <w:r>
        <w:t xml:space="preserve"> </w:t>
      </w:r>
      <w:r>
        <w:t xml:space="preserve">Administrators in Auckland often integrate Māori knowledge (mātauranga Māori) into curriculum design and community engagement.</w:t>
      </w:r>
    </w:p>
    <w:p>
      <w:pPr>
        <w:numPr>
          <w:ilvl w:val="0"/>
          <w:numId w:val="1001"/>
        </w:numPr>
        <w:pStyle w:val="Compact"/>
      </w:pPr>
      <w:r>
        <w:rPr>
          <w:bCs/>
          <w:b/>
        </w:rPr>
        <w:t xml:space="preserve">Data-Driven Decision-Making:</w:t>
      </w:r>
      <w:r>
        <w:t xml:space="preserve"> </w:t>
      </w:r>
      <w:r>
        <w:t xml:space="preserve">Utilizes MoE’s School Evaluation Indicators to assess performance and allocate resources effectively.</w:t>
      </w:r>
    </w:p>
    <w:p>
      <w:r>
        <w:pict>
          <v:rect style="width:0;height:1.5pt" o:hralign="center" o:hrstd="t" o:hr="t"/>
        </w:pict>
      </w:r>
    </w:p>
    <w:bookmarkEnd w:id="23"/>
    <w:bookmarkEnd w:id="24"/>
    <w:bookmarkStart w:id="26" w:name="methodology"/>
    <w:p>
      <w:pPr>
        <w:pStyle w:val="Heading2"/>
      </w:pPr>
      <w:r>
        <w:t xml:space="preserve">3. Methodology</w:t>
      </w:r>
    </w:p>
    <w:p>
      <w:pPr>
        <w:pStyle w:val="FirstParagraph"/>
      </w:pPr>
      <w:r>
        <w:t xml:space="preserve">This qualitative study employs case studies of three Auckland schools (primary, secondary, and tertiary) over a six-month period. Data was collected through semi-structured interviews with Education Administrators, classroom observations, and analysis of policy documents from the MoE and local school boards. The research aims to identify common strategies used by administrators to reconcile national educational standards with localized challenges.</w:t>
      </w:r>
    </w:p>
    <w:bookmarkStart w:id="25" w:name="ethical-considerations"/>
    <w:p>
      <w:pPr>
        <w:pStyle w:val="Heading3"/>
      </w:pPr>
      <w:r>
        <w:t xml:space="preserve">3.1 Ethical Considerations</w:t>
      </w:r>
    </w:p>
    <w:p>
      <w:pPr>
        <w:pStyle w:val="FirstParagraph"/>
      </w:pPr>
      <w:r>
        <w:t xml:space="preserve">All participants provided informed consent, and data was anonymized to protect institutional and individual identities. The study adheres to the ethical guidelines of the University of Auckland’s Faculty of Education.</w:t>
      </w:r>
    </w:p>
    <w:p>
      <w:r>
        <w:pict>
          <v:rect style="width:0;height:1.5pt" o:hralign="center" o:hrstd="t" o:hr="t"/>
        </w:pict>
      </w:r>
    </w:p>
    <w:bookmarkEnd w:id="25"/>
    <w:bookmarkEnd w:id="26"/>
    <w:bookmarkStart w:id="28" w:name="findings"/>
    <w:p>
      <w:pPr>
        <w:pStyle w:val="Heading2"/>
      </w:pPr>
      <w:r>
        <w:t xml:space="preserve">4. Findings</w:t>
      </w:r>
    </w:p>
    <w:p>
      <w:pPr>
        <w:pStyle w:val="FirstParagraph"/>
      </w:pPr>
      <w:r>
        <w:t xml:space="preserve">Key findings reveal that Education Administrators in Auckland prioritize community collaboration, teacher professional development, and culturally responsive teaching. For instance, one secondary school administrator reported implementing a Māori-led initiative to improve student engagement among indigenous students. Additionally, administrators frequently advocate for increased funding to address inequalities in under-resourced schools.</w:t>
      </w:r>
    </w:p>
    <w:bookmarkStart w:id="27" w:name="challenges-identified"/>
    <w:p>
      <w:pPr>
        <w:pStyle w:val="Heading3"/>
      </w:pPr>
      <w:r>
        <w:t xml:space="preserve">4.1 Challenges Identified</w:t>
      </w:r>
    </w:p>
    <w:p>
      <w:pPr>
        <w:numPr>
          <w:ilvl w:val="0"/>
          <w:numId w:val="1002"/>
        </w:numPr>
        <w:pStyle w:val="Compact"/>
      </w:pPr>
      <w:r>
        <w:rPr>
          <w:bCs/>
          <w:b/>
        </w:rPr>
        <w:t xml:space="preserve">Funding Constraints:</w:t>
      </w:r>
      <w:r>
        <w:t xml:space="preserve"> </w:t>
      </w:r>
      <w:r>
        <w:t xml:space="preserve">Many Auckland schools struggle with limited budgets despite high demand for services.</w:t>
      </w:r>
    </w:p>
    <w:p>
      <w:pPr>
        <w:numPr>
          <w:ilvl w:val="0"/>
          <w:numId w:val="1002"/>
        </w:numPr>
        <w:pStyle w:val="Compact"/>
      </w:pPr>
      <w:r>
        <w:rPr>
          <w:bCs/>
          <w:b/>
        </w:rPr>
        <w:t xml:space="preserve">Cultural Integration:</w:t>
      </w:r>
      <w:r>
        <w:t xml:space="preserve"> </w:t>
      </w:r>
      <w:r>
        <w:t xml:space="preserve">Balancing Māori and Pacific Islander perspectives with mainstream curricula remains a challenge.</w:t>
      </w:r>
    </w:p>
    <w:p>
      <w:pPr>
        <w:numPr>
          <w:ilvl w:val="0"/>
          <w:numId w:val="1002"/>
        </w:numPr>
        <w:pStyle w:val="Compact"/>
      </w:pPr>
      <w:r>
        <w:rPr>
          <w:bCs/>
          <w:b/>
        </w:rPr>
        <w:t xml:space="preserve">Digital Divide:</w:t>
      </w:r>
      <w:r>
        <w:t xml:space="preserve"> </w:t>
      </w:r>
      <w:r>
        <w:t xml:space="preserve">The shift to remote learning during the pandemic highlighted disparities in access to technology among students.</w:t>
      </w:r>
    </w:p>
    <w:p>
      <w:r>
        <w:pict>
          <v:rect style="width:0;height:1.5pt" o:hralign="center" o:hrstd="t" o:hr="t"/>
        </w:pict>
      </w:r>
    </w:p>
    <w:bookmarkEnd w:id="27"/>
    <w:bookmarkEnd w:id="28"/>
    <w:bookmarkStart w:id="30" w:name="discussion"/>
    <w:p>
      <w:pPr>
        <w:pStyle w:val="Heading2"/>
      </w:pPr>
      <w:r>
        <w:t xml:space="preserve">5. Discussion</w:t>
      </w:r>
    </w:p>
    <w:p>
      <w:pPr>
        <w:pStyle w:val="FirstParagraph"/>
      </w:pPr>
      <w:r>
        <w:t xml:space="preserve">The findings align with global trends that position Education Administrators as key agents of change. However, the context of Auckland adds unique dimensions, such as the need to honor Māori worldviews while adapting to a rapidly evolving urban environment. Administrators who successfully foster inclusive cultures report higher student achievement and community trust.</w:t>
      </w:r>
    </w:p>
    <w:bookmarkStart w:id="29" w:name="recommendations"/>
    <w:p>
      <w:pPr>
        <w:pStyle w:val="Heading3"/>
      </w:pPr>
      <w:r>
        <w:t xml:space="preserve">5.1 Recommendations</w:t>
      </w:r>
    </w:p>
    <w:p>
      <w:pPr>
        <w:numPr>
          <w:ilvl w:val="0"/>
          <w:numId w:val="1003"/>
        </w:numPr>
        <w:pStyle w:val="Compact"/>
      </w:pPr>
      <w:r>
        <w:rPr>
          <w:bCs/>
          <w:b/>
        </w:rPr>
        <w:t xml:space="preserve">Enhanced Funding Models:</w:t>
      </w:r>
      <w:r>
        <w:t xml:space="preserve"> </w:t>
      </w:r>
      <w:r>
        <w:t xml:space="preserve">Advocate for targeted funding to support under-resourced schools in Auckland’s decentralized system.</w:t>
      </w:r>
    </w:p>
    <w:p>
      <w:pPr>
        <w:numPr>
          <w:ilvl w:val="0"/>
          <w:numId w:val="1003"/>
        </w:numPr>
        <w:pStyle w:val="Compact"/>
      </w:pPr>
      <w:r>
        <w:rPr>
          <w:bCs/>
          <w:b/>
        </w:rPr>
        <w:t xml:space="preserve">Māori Partnership Programs:</w:t>
      </w:r>
      <w:r>
        <w:t xml:space="preserve"> </w:t>
      </w:r>
      <w:r>
        <w:t xml:space="preserve">Encourage co-design of education policies with local iwi (tribes) and hapū (sub-tribes).</w:t>
      </w:r>
    </w:p>
    <w:p>
      <w:pPr>
        <w:numPr>
          <w:ilvl w:val="0"/>
          <w:numId w:val="1003"/>
        </w:numPr>
        <w:pStyle w:val="Compact"/>
      </w:pPr>
      <w:r>
        <w:rPr>
          <w:bCs/>
          <w:b/>
        </w:rPr>
        <w:t xml:space="preserve">Professional Development:</w:t>
      </w:r>
      <w:r>
        <w:t xml:space="preserve"> </w:t>
      </w:r>
      <w:r>
        <w:t xml:space="preserve">Provide ongoing training for administrators on cultural responsiveness and emerging educational technologies.</w:t>
      </w:r>
    </w:p>
    <w:p>
      <w:r>
        <w:pict>
          <v:rect style="width:0;height:1.5pt" o:hralign="center" o:hrstd="t" o:hr="t"/>
        </w:pict>
      </w:r>
    </w:p>
    <w:bookmarkEnd w:id="29"/>
    <w:bookmarkEnd w:id="30"/>
    <w:bookmarkStart w:id="32" w:name="conclusion"/>
    <w:p>
      <w:pPr>
        <w:pStyle w:val="Heading2"/>
      </w:pPr>
      <w:r>
        <w:t xml:space="preserve">6. Conclusion</w:t>
      </w:r>
    </w:p>
    <w:p>
      <w:pPr>
        <w:pStyle w:val="FirstParagraph"/>
      </w:pPr>
      <w:r>
        <w:t xml:space="preserve">This Master Thesis underscores the indispensable role of Education Administrators in New Zealand Auckland. Their ability to navigate complex socio-cultural landscapes while upholding national educational standards is critical to achieving equity and excellence. As Auckland continues to grow, the insights from this research offer a roadmap for fostering resilient, inclusive education systems that reflect both local and national aspirations.</w:t>
      </w:r>
    </w:p>
    <w:bookmarkStart w:id="31" w:name="future-research-directions"/>
    <w:p>
      <w:pPr>
        <w:pStyle w:val="Heading3"/>
      </w:pPr>
      <w:r>
        <w:t xml:space="preserve">6.1 Future Research Directions</w:t>
      </w:r>
    </w:p>
    <w:p>
      <w:pPr>
        <w:pStyle w:val="FirstParagraph"/>
      </w:pPr>
      <w:r>
        <w:t xml:space="preserve">Future studies could explore the long-term impact of administrative leadership on student outcomes or examine the role of technology in bridging educational disparities in Auckland’s diverse communities.</w:t>
      </w:r>
    </w:p>
    <w:p>
      <w:r>
        <w:pict>
          <v:rect style="width:0;height:1.5pt" o:hralign="center" o:hrstd="t" o:hr="t"/>
        </w:pict>
      </w:r>
    </w:p>
    <w:bookmarkEnd w:id="31"/>
    <w:bookmarkEnd w:id="32"/>
    <w:bookmarkStart w:id="33" w:name="references"/>
    <w:p>
      <w:pPr>
        <w:pStyle w:val="Heading2"/>
      </w:pPr>
      <w:r>
        <w:t xml:space="preserve">References</w:t>
      </w:r>
    </w:p>
    <w:p>
      <w:pPr>
        <w:numPr>
          <w:ilvl w:val="0"/>
          <w:numId w:val="1004"/>
        </w:numPr>
        <w:pStyle w:val="Compact"/>
      </w:pPr>
      <w:r>
        <w:t xml:space="preserve">Ministry of Education (New Zealand). (2023).</w:t>
      </w:r>
      <w:r>
        <w:t xml:space="preserve"> </w:t>
      </w:r>
      <w:r>
        <w:rPr>
          <w:iCs/>
          <w:i/>
        </w:rPr>
        <w:t xml:space="preserve">New Zealand Curriculum</w:t>
      </w:r>
      <w:r>
        <w:t xml:space="preserve">.</w:t>
      </w:r>
    </w:p>
    <w:p>
      <w:pPr>
        <w:numPr>
          <w:ilvl w:val="0"/>
          <w:numId w:val="1004"/>
        </w:numPr>
        <w:pStyle w:val="Compact"/>
      </w:pPr>
      <w:r>
        <w:t xml:space="preserve">Treiman, D. J., &amp; Skafoth, C. M. (Eds.). (2015).</w:t>
      </w:r>
      <w:r>
        <w:t xml:space="preserve"> </w:t>
      </w:r>
      <w:r>
        <w:rPr>
          <w:iCs/>
          <w:i/>
        </w:rPr>
        <w:t xml:space="preserve">Leading for Equity in Schools: A Guide for Educators</w:t>
      </w:r>
      <w:r>
        <w:t xml:space="preserve">. Routledge.</w:t>
      </w:r>
    </w:p>
    <w:p>
      <w:pPr>
        <w:numPr>
          <w:ilvl w:val="0"/>
          <w:numId w:val="1004"/>
        </w:numPr>
        <w:pStyle w:val="Compact"/>
      </w:pPr>
      <w:r>
        <w:t xml:space="preserve">Tuākana-Tēmaki, E., &amp; Pōtatau, K. (2018).</w:t>
      </w:r>
      <w:r>
        <w:t xml:space="preserve"> </w:t>
      </w:r>
      <w:r>
        <w:rPr>
          <w:iCs/>
          <w:i/>
        </w:rPr>
        <w:t xml:space="preserve">Māori Perspectives on Education Leadership</w:t>
      </w:r>
      <w:r>
        <w:t xml:space="preserve">. University of Auckland Press.</w:t>
      </w:r>
    </w:p>
    <w:p>
      <w:r>
        <w:pict>
          <v:rect style="width:0;height:1.5pt" o:hralign="center" o:hrstd="t" o:hr="t"/>
        </w:pict>
      </w:r>
    </w:p>
    <w:p>
      <w:pPr>
        <w:pStyle w:val="FirstParagraph"/>
      </w:pPr>
      <w:r>
        <w:t xml:space="preserve">© 2023 Master Thesis for the Faculty of Education, University of Auckland. All rights reserved.</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New Zealand Auckland</dc:title>
  <dc:creator/>
  <dc:language>en</dc:language>
  <cp:keywords/>
  <dcterms:created xsi:type="dcterms:W3CDTF">2026-07-23T15:03:04Z</dcterms:created>
  <dcterms:modified xsi:type="dcterms:W3CDTF">2026-07-23T15:03:04Z</dcterms:modified>
</cp:coreProperties>
</file>

<file path=docProps/custom.xml><?xml version="1.0" encoding="utf-8"?>
<Properties xmlns="http://schemas.openxmlformats.org/officeDocument/2006/custom-properties" xmlns:vt="http://schemas.openxmlformats.org/officeDocument/2006/docPropsVTypes"/>
</file>