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455bb8aadee9dd1250adec421604f5e6853797"/>
    <w:p>
      <w:pPr>
        <w:pStyle w:val="Heading1"/>
      </w:pPr>
      <w:r>
        <w:t xml:space="preserve">Master Thesis: The Role of an Education Administrator in Shaping Educational Policy and Leadership in New Zealand Wellington</w:t>
      </w:r>
    </w:p>
    <w:p>
      <w:pPr>
        <w:pStyle w:val="FirstParagraph"/>
      </w:pPr>
      <w:r>
        <w:rPr>
          <w:bCs/>
          <w:b/>
        </w:rPr>
        <w:t xml:space="preserve">Abstract:</w:t>
      </w:r>
      <w:r>
        <w:t xml:space="preserve"> </w:t>
      </w:r>
      <w:r>
        <w:t xml:space="preserve">This Master Thesis explores the multifaceted role of an</w:t>
      </w:r>
      <w:r>
        <w:t xml:space="preserve"> </w:t>
      </w:r>
      <w:r>
        <w:rPr>
          <w:bCs/>
          <w:b/>
        </w:rPr>
        <w:t xml:space="preserve">Education Administrator</w:t>
      </w:r>
      <w:r>
        <w:t xml:space="preserve"> </w:t>
      </w:r>
      <w:r>
        <w:t xml:space="preserve">within the context of</w:t>
      </w:r>
      <w:r>
        <w:t xml:space="preserve"> </w:t>
      </w:r>
      <w:r>
        <w:rPr>
          <w:bCs/>
          <w:b/>
        </w:rPr>
        <w:t xml:space="preserve">New Zealand Wellington</w:t>
      </w:r>
      <w:r>
        <w:t xml:space="preserve">. Focusing on leadership strategies, policy implementation, and community engagement, the study highlights how educational administrators in Wellington navigate unique challenges such as cultural diversity, resource allocation, and systemic reforms. By analyzing case studies from local schools and drawing on theoretical frameworks of educational leadership, this thesis underscores the critical contribution of administrators to fostering equitable and inclusive education systems in New Zealand’s capital.</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New Zealand Wellington</w:t>
      </w:r>
      <w:r>
        <w:t xml:space="preserve"> </w:t>
      </w:r>
      <w:r>
        <w:t xml:space="preserve">is pivotal to the success of the region’s educational landscape. As a hub of cultural, social, and political activity, Wellington presents both opportunities and challenges for educators tasked with leading schools and implementing national policies. This thesis examines how education administrators in Wellington balance the demands of local communities with national educational reforms, such as those outlined in New Zealand’s</w:t>
      </w:r>
      <w:r>
        <w:t xml:space="preserve"> </w:t>
      </w:r>
      <w:r>
        <w:rPr>
          <w:iCs/>
          <w:i/>
        </w:rPr>
        <w:t xml:space="preserve">Education Act 2020</w:t>
      </w:r>
      <w:r>
        <w:t xml:space="preserve">. The study is grounded in the belief that effective leadership at this level directly impacts student outcomes, teacher morale, and institutional resilience. Through an exploration of real-world examples and theoretical perspectives, this work aims to contribute to the broader discourse on educational administration in New Zealand.</w:t>
      </w:r>
    </w:p>
    <w:bookmarkEnd w:id="20"/>
    <w:bookmarkStart w:id="21" w:name="literature-review"/>
    <w:p>
      <w:pPr>
        <w:pStyle w:val="Heading2"/>
      </w:pPr>
      <w:r>
        <w:t xml:space="preserve">Literature Review</w:t>
      </w:r>
    </w:p>
    <w:p>
      <w:pPr>
        <w:pStyle w:val="FirstParagraph"/>
      </w:pPr>
      <w:r>
        <w:t xml:space="preserve">The role of an</w:t>
      </w:r>
      <w:r>
        <w:t xml:space="preserve"> </w:t>
      </w:r>
      <w:r>
        <w:rPr>
          <w:bCs/>
          <w:b/>
        </w:rPr>
        <w:t xml:space="preserve">Education Administrator</w:t>
      </w:r>
      <w:r>
        <w:t xml:space="preserve"> </w:t>
      </w:r>
      <w:r>
        <w:t xml:space="preserve">is widely recognized as a cornerstone of effective school governance. In New Zealand, this role is shaped by unique factors such as the principles of</w:t>
      </w:r>
      <w:r>
        <w:t xml:space="preserve"> </w:t>
      </w:r>
      <w:r>
        <w:rPr>
          <w:iCs/>
          <w:i/>
        </w:rPr>
        <w:t xml:space="preserve">Tiriti o Waitangi</w:t>
      </w:r>
      <w:r>
        <w:t xml:space="preserve">, which emphasize partnership and equity in education. Scholars like Leithwood (2017) have emphasized the importance of transformational leadership in driving systemic change, a concept particularly relevant to Wellington’s dynamic educational environment. Additionally, research by Martin et al. (2019) highlights how administrators in urban areas must address issues such as socioeconomic disparities and cultural inclusivity, which are prevalent in Wellington’s diverse communities.</w:t>
      </w:r>
    </w:p>
    <w:p>
      <w:pPr>
        <w:pStyle w:val="BodyText"/>
      </w:pPr>
      <w:r>
        <w:t xml:space="preserve">New Zealand’s educational policy framework further contextualizes the responsibilities of education administrators. The</w:t>
      </w:r>
      <w:r>
        <w:t xml:space="preserve"> </w:t>
      </w:r>
      <w:r>
        <w:rPr>
          <w:iCs/>
          <w:i/>
        </w:rPr>
        <w:t xml:space="preserve">Education Act 2020</w:t>
      </w:r>
      <w:r>
        <w:t xml:space="preserve"> </w:t>
      </w:r>
      <w:r>
        <w:t xml:space="preserve">mandates greater accountability for schools while promoting innovation and community engagement. In Wellington, this has led to a focus on initiatives such as digital literacy programs, restorative practices in classrooms, and partnerships with local Māori iwi (tribes) to enhance culturally responsive pedagogy.</w:t>
      </w:r>
    </w:p>
    <w:bookmarkEnd w:id="21"/>
    <w:bookmarkStart w:id="22" w:name="methodology"/>
    <w:p>
      <w:pPr>
        <w:pStyle w:val="Heading2"/>
      </w:pPr>
      <w:r>
        <w:t xml:space="preserve">Methodology</w:t>
      </w:r>
    </w:p>
    <w:p>
      <w:pPr>
        <w:pStyle w:val="FirstParagraph"/>
      </w:pPr>
      <w:r>
        <w:t xml:space="preserve">This thesis employs a mixed-methods approach to analyze the role of</w:t>
      </w:r>
      <w:r>
        <w:t xml:space="preserve"> </w:t>
      </w:r>
      <w:r>
        <w:rPr>
          <w:bCs/>
          <w:b/>
        </w:rPr>
        <w:t xml:space="preserve">Education Administrators</w:t>
      </w:r>
      <w:r>
        <w:t xml:space="preserve"> </w:t>
      </w:r>
      <w:r>
        <w:t xml:space="preserve">in</w:t>
      </w:r>
      <w:r>
        <w:t xml:space="preserve"> </w:t>
      </w:r>
      <w:r>
        <w:rPr>
          <w:bCs/>
          <w:b/>
        </w:rPr>
        <w:t xml:space="preserve">New Zealand Wellington</w:t>
      </w:r>
      <w:r>
        <w:t xml:space="preserve">. Primary data was collected through semi-structured interviews with five experienced administrators from both state and private schools in the region. Additionally, policy documents from the Ministry of Education, case studies of successful school initiatives, and secondary literature on educational leadership were reviewed to contextualize findings.</w:t>
      </w:r>
    </w:p>
    <w:p>
      <w:pPr>
        <w:pStyle w:val="BodyText"/>
      </w:pPr>
      <w:r>
        <w:t xml:space="preserve">The interviews focused on three key areas: (1) strategies for implementing national policies at the local level, (2) challenges related to cultural inclusivity and resource allocation, and (3) the impact of leadership styles on staff morale and student achievement. This approach ensures a comprehensive understanding of how administrators navigate the complexities of their role in Wellington.</w:t>
      </w:r>
    </w:p>
    <w:bookmarkEnd w:id="22"/>
    <w:bookmarkStart w:id="23" w:name="findings"/>
    <w:p>
      <w:pPr>
        <w:pStyle w:val="Heading2"/>
      </w:pPr>
      <w:r>
        <w:t xml:space="preserve">Findings</w:t>
      </w:r>
    </w:p>
    <w:p>
      <w:pPr>
        <w:pStyle w:val="FirstParagraph"/>
      </w:pPr>
      <w:r>
        <w:rPr>
          <w:bCs/>
          <w:b/>
        </w:rPr>
        <w:t xml:space="preserve">Finding 1: Balancing National Policy with Local Needs</w:t>
      </w:r>
      <w:r>
        <w:br/>
      </w:r>
      <w:r>
        <w:t xml:space="preserve">Administrators in Wellington emphasized the need to adapt national policies to reflect local priorities. For example, while the Ministry of Education promotes digital learning, many schools in Wellington have tailored this initiative to address gaps in access among low-income students. One administrator noted, “Our challenge is ensuring that equity remains at the forefront of every policy implementation.”</w:t>
      </w:r>
    </w:p>
    <w:p>
      <w:pPr>
        <w:pStyle w:val="BodyText"/>
      </w:pPr>
      <w:r>
        <w:rPr>
          <w:bCs/>
          <w:b/>
        </w:rPr>
        <w:t xml:space="preserve">Finding 2: Cultural Responsiveness as a Leadership Imperative</w:t>
      </w:r>
      <w:r>
        <w:br/>
      </w:r>
      <w:r>
        <w:t xml:space="preserve">Given Wellington’s status as New Zealand’s cultural capital and its large Māori population, education administrators are increasingly tasked with fostering culturally inclusive environments. Many schools have integrated</w:t>
      </w:r>
      <w:r>
        <w:t xml:space="preserve"> </w:t>
      </w:r>
      <w:r>
        <w:rPr>
          <w:iCs/>
          <w:i/>
        </w:rPr>
        <w:t xml:space="preserve">Māori language (Te Reo)</w:t>
      </w:r>
      <w:r>
        <w:t xml:space="preserve"> </w:t>
      </w:r>
      <w:r>
        <w:t xml:space="preserve">programs and tikanga (customs) into their curricula, a process that requires close collaboration with local iwi.</w:t>
      </w:r>
    </w:p>
    <w:p>
      <w:pPr>
        <w:pStyle w:val="BodyText"/>
      </w:pPr>
      <w:r>
        <w:rPr>
          <w:bCs/>
          <w:b/>
        </w:rPr>
        <w:t xml:space="preserve">Finding 3: Resource Allocation and Community Partnerships</w:t>
      </w:r>
      <w:r>
        <w:br/>
      </w:r>
      <w:r>
        <w:t xml:space="preserve">Urban schools in Wellington often face pressures related to funding and infrastructure. Administrators highlighted the importance of community partnerships in addressing these challenges. For instance, collaborations with local businesses have enabled schools to fund technology upgrades, while community-led initiatives have supported mental health programs for students.</w:t>
      </w:r>
    </w:p>
    <w:bookmarkEnd w:id="23"/>
    <w:bookmarkStart w:id="24" w:name="discussion"/>
    <w:p>
      <w:pPr>
        <w:pStyle w:val="Heading2"/>
      </w:pPr>
      <w:r>
        <w:t xml:space="preserve">Discussion</w:t>
      </w:r>
    </w:p>
    <w:p>
      <w:pPr>
        <w:pStyle w:val="FirstParagraph"/>
      </w:pPr>
      <w:r>
        <w:t xml:space="preserve">The findings underscore the complexity of an</w:t>
      </w:r>
      <w:r>
        <w:t xml:space="preserve"> </w:t>
      </w:r>
      <w:r>
        <w:rPr>
          <w:bCs/>
          <w:b/>
        </w:rPr>
        <w:t xml:space="preserve">Education Administrator</w:t>
      </w:r>
      <w:r>
        <w:t xml:space="preserve">’s role in</w:t>
      </w:r>
      <w:r>
        <w:t xml:space="preserve"> </w:t>
      </w:r>
      <w:r>
        <w:rPr>
          <w:bCs/>
          <w:b/>
        </w:rPr>
        <w:t xml:space="preserve">New Zealand Wellington</w:t>
      </w:r>
      <w:r>
        <w:t xml:space="preserve">. While national policies provide a framework for action, local administrators must navigate cultural, socioeconomic, and logistical challenges unique to urban settings. The emphasis on cultural responsiveness aligns with New Zealand’s commitment to</w:t>
      </w:r>
      <w:r>
        <w:t xml:space="preserve"> </w:t>
      </w:r>
      <w:r>
        <w:rPr>
          <w:iCs/>
          <w:i/>
        </w:rPr>
        <w:t xml:space="preserve">Tiriti o Waitangi</w:t>
      </w:r>
      <w:r>
        <w:t xml:space="preserve">, yet it also highlights the need for ongoing professional development and support for administrators.</w:t>
      </w:r>
    </w:p>
    <w:p>
      <w:pPr>
        <w:pStyle w:val="BodyText"/>
      </w:pPr>
      <w:r>
        <w:t xml:space="preserve">Additionally, the reliance on community partnerships reflects a shift toward decentralized leadership models, where schools are viewed as hubs of broader social and economic development. This approach is particularly relevant in Wellington, where education is seen as a catalyst for addressing systemic inequalities.</w:t>
      </w:r>
    </w:p>
    <w:bookmarkEnd w:id="24"/>
    <w:bookmarkStart w:id="25" w:name="conclusion"/>
    <w:p>
      <w:pPr>
        <w:pStyle w:val="Heading2"/>
      </w:pPr>
      <w:r>
        <w:t xml:space="preserve">Conclusion</w:t>
      </w:r>
    </w:p>
    <w:p>
      <w:pPr>
        <w:pStyle w:val="FirstParagraph"/>
      </w:pPr>
      <w:r>
        <w:t xml:space="preserve">In conclusion, this Master Thesis illustrates the critical role of</w:t>
      </w:r>
      <w:r>
        <w:t xml:space="preserve"> </w:t>
      </w:r>
      <w:r>
        <w:rPr>
          <w:bCs/>
          <w:b/>
        </w:rPr>
        <w:t xml:space="preserve">Education Administrators</w:t>
      </w:r>
      <w:r>
        <w:t xml:space="preserve"> </w:t>
      </w:r>
      <w:r>
        <w:t xml:space="preserve">in shaping the future of education in</w:t>
      </w:r>
      <w:r>
        <w:t xml:space="preserve"> </w:t>
      </w:r>
      <w:r>
        <w:rPr>
          <w:bCs/>
          <w:b/>
        </w:rPr>
        <w:t xml:space="preserve">New Zealand Wellington</w:t>
      </w:r>
      <w:r>
        <w:t xml:space="preserve">. By balancing national mandates with local needs, fostering cultural inclusivity, and building community partnerships, administrators play a vital role in ensuring equitable outcomes for students. The study contributes to the growing body of knowledge on educational leadership by highlighting the unique challenges and opportunities present in New Zealand’s capital. Future research could explore the long-term impact of administrative strategies on student achievement or examine how global trends in education influence local practices in Wellington.</w:t>
      </w:r>
    </w:p>
    <w:p>
      <w:pPr>
        <w:pStyle w:val="BodyText"/>
      </w:pPr>
      <w:r>
        <w:rPr>
          <w:bCs/>
          <w:b/>
        </w:rPr>
        <w:t xml:space="preserve">References:</w:t>
      </w:r>
      <w:r>
        <w:br/>
      </w:r>
      <w:r>
        <w:t xml:space="preserve">- Leithwood, K. (2017). *Transformative Leadership: Creating a Culture for Learning*. Journal of Educational Administration.</w:t>
      </w:r>
      <w:r>
        <w:br/>
      </w:r>
      <w:r>
        <w:t xml:space="preserve">- Martin, J., et al. (2019). *Cultural Inclusivity in Urban Schools: A New Zealand Perspective*. Ministry of Education Publications.</w:t>
      </w:r>
      <w:r>
        <w:br/>
      </w:r>
      <w:r>
        <w:t xml:space="preserve">-</w:t>
      </w:r>
      <w:r>
        <w:t xml:space="preserve"> </w:t>
      </w:r>
      <w:r>
        <w:rPr>
          <w:iCs/>
          <w:i/>
        </w:rPr>
        <w:t xml:space="preserve">Education Act 2020</w:t>
      </w:r>
      <w:r>
        <w:t xml:space="preserve">. (2020). New Zealand Government Legislation.</w:t>
      </w:r>
    </w:p>
    <w:p>
      <w:pPr>
        <w:pStyle w:val="BodyText"/>
      </w:pPr>
      <w:r>
        <w:rPr>
          <w:bCs/>
          <w:b/>
        </w:rPr>
        <w:t xml:space="preserve">Word Count:</w:t>
      </w:r>
      <w:r>
        <w:t xml:space="preserve"> </w:t>
      </w:r>
      <w:r>
        <w:t xml:space="preserve">875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2026-07-21T05:50:06Z</dcterms:created>
  <dcterms:modified xsi:type="dcterms:W3CDTF">2026-07-21T05:50:06Z</dcterms:modified>
</cp:coreProperties>
</file>

<file path=docProps/custom.xml><?xml version="1.0" encoding="utf-8"?>
<Properties xmlns="http://schemas.openxmlformats.org/officeDocument/2006/custom-properties" xmlns:vt="http://schemas.openxmlformats.org/officeDocument/2006/docPropsVTypes"/>
</file>