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Colombia's</w:t>
      </w:r>
      <w:r>
        <w:t xml:space="preserve"> </w:t>
      </w:r>
      <w:r>
        <w:t xml:space="preserve">Bogotá</w:t>
      </w:r>
    </w:p>
    <w:p>
      <w:pPr>
        <w:pStyle w:val="FirstParagraph"/>
      </w:pPr>
      <w:r>
        <w:t xml:space="preserve">```html</w:t>
      </w:r>
    </w:p>
    <w:bookmarkStart w:id="28" w:name="X2be6057ba076ba11f205d4c57c17b72002b9a45"/>
    <w:p>
      <w:pPr>
        <w:pStyle w:val="Heading1"/>
      </w:pPr>
      <w:r>
        <w:t xml:space="preserve">Master Thesis on Financial Analysts in Colombia's Bogotá</w:t>
      </w:r>
    </w:p>
    <w:bookmarkStart w:id="20" w:name="introduction"/>
    <w:p>
      <w:pPr>
        <w:pStyle w:val="Heading2"/>
      </w:pPr>
      <w:r>
        <w:t xml:space="preserve">Introduction</w:t>
      </w:r>
    </w:p>
    <w:p>
      <w:pPr>
        <w:pStyle w:val="FirstParagraph"/>
      </w:pPr>
      <w:r>
        <w:t xml:space="preserve">The role of a Financial Analyst is pivotal in shaping strategic decisions within the financial sector, particularly in dynamic markets like Colombia’s capital, Bogotá. As one of Latin America’s leading economic and financial hubs, Bogotá offers a unique ecosystem for studying the intersection of finance and local economic challenges. This thesis explores how Financial Analysts navigate the complexities of Colombia's economy while contributing to sustainable growth in Bogotá.</w:t>
      </w:r>
    </w:p>
    <w:bookmarkEnd w:id="20"/>
    <w:bookmarkStart w:id="21" w:name="X220da3a83e3c96bca26f0ffb32f37f618ba3d6f"/>
    <w:p>
      <w:pPr>
        <w:pStyle w:val="Heading2"/>
      </w:pPr>
      <w:r>
        <w:t xml:space="preserve">Contextual Background: Colombia and Bogotá</w:t>
      </w:r>
    </w:p>
    <w:p>
      <w:pPr>
        <w:pStyle w:val="FirstParagraph"/>
      </w:pPr>
      <w:r>
        <w:t xml:space="preserve">Colombia’s economy is characterized by a mix of traditional industries (agriculture, mining) and emerging sectors (technology, renewable energy). Bogotá, as the political, economic, and cultural center of Colombia, hosts over 10 million people and serves as the headquarters for major financial institutions such as Banco de Occidente and Banco Popular. The city’s proximity to international trade routes further amplifies its significance in regional finance.</w:t>
      </w:r>
    </w:p>
    <w:p>
      <w:pPr>
        <w:pStyle w:val="BodyText"/>
      </w:pPr>
      <w:r>
        <w:t xml:space="preserve">However, Bogotá also faces challenges such as income inequality, regulatory complexities (e.g., tax reforms), and the need for sustainable investment in infrastructure. These factors create a demand for skilled Financial Analysts who can assess risks, optimize portfolios, and align corporate strategies with national priorities.</w:t>
      </w:r>
    </w:p>
    <w:bookmarkEnd w:id="21"/>
    <w:bookmarkStart w:id="22" w:name="X378649cacfa63a47cfb8be69295e784b361fb29"/>
    <w:p>
      <w:pPr>
        <w:pStyle w:val="Heading2"/>
      </w:pPr>
      <w:r>
        <w:t xml:space="preserve">Literature Review: Financial Analysts in Emerging Markets</w:t>
      </w:r>
    </w:p>
    <w:p>
      <w:pPr>
        <w:pStyle w:val="FirstParagraph"/>
      </w:pPr>
      <w:r>
        <w:t xml:space="preserve">Emerging markets like Colombia require Financial Analysts to balance global financial trends with local contextual factors. Studies by [Author Name] (Year) highlight the unique role of analysts in mitigating currency risks and adapting to policy shifts, such as Colombia’s recent pension reform. Similarly, research by [Another Author] (Year) underscores the importance of localized data analysis in Bogotá’s fast-evolving fintech sector.</w:t>
      </w:r>
    </w:p>
    <w:p>
      <w:pPr>
        <w:pStyle w:val="BodyText"/>
      </w:pPr>
      <w:r>
        <w:t xml:space="preserve">In Bogotá specifically, Financial Analysts often work with multinational corporations and local SMEs to navigate the dual pressures of inflation and currency volatility. The Colombian peso’s fluctuation against major currencies (e.g., USD) demands real-time analytical rigor, a skill set increasingly emphasized in Bogotá’s business schools.</w:t>
      </w:r>
    </w:p>
    <w:bookmarkEnd w:id="22"/>
    <w:bookmarkStart w:id="23" w:name="methodology-data-collection-and-analysis"/>
    <w:p>
      <w:pPr>
        <w:pStyle w:val="Heading2"/>
      </w:pPr>
      <w:r>
        <w:t xml:space="preserve">Methodology: Data Collection and Analysis</w:t>
      </w:r>
    </w:p>
    <w:p>
      <w:pPr>
        <w:pStyle w:val="FirstParagraph"/>
      </w:pPr>
      <w:r>
        <w:t xml:space="preserve">This thesis employs a mixed-methods approach, combining qualitative interviews with Financial Analysts in Bogotá and quantitative data from Colombia’s Central Bank (Banco de la República). Interviews were conducted with professionals working for institutions such as DGC (Departamento Administrativo de Ciencia y Tecnología) and private firms like Santander Colombia.</w:t>
      </w:r>
    </w:p>
    <w:p>
      <w:pPr>
        <w:pStyle w:val="BodyText"/>
      </w:pPr>
      <w:r>
        <w:t xml:space="preserve">Secondary data sources include reports from the Superintendencia Financiera de Colombia, which oversees financial regulations, and publications by Bogotá’s Chamber of Commerce. The analysis focuses on three themes: (1) challenges in forecasting economic trends in Bogotá, (2) the impact of digital transformation on Financial Analyst roles, and (3) alignment with national development goals.</w:t>
      </w:r>
    </w:p>
    <w:bookmarkEnd w:id="23"/>
    <w:bookmarkStart w:id="24" w:name="Xf969479af74b6505de44652029b96f4989ea49b"/>
    <w:p>
      <w:pPr>
        <w:pStyle w:val="Heading2"/>
      </w:pPr>
      <w:r>
        <w:t xml:space="preserve">Findings: Key Insights from Bogotá’s Financial Landscape</w:t>
      </w:r>
    </w:p>
    <w:p>
      <w:pPr>
        <w:pStyle w:val="FirstParagraph"/>
      </w:pPr>
      <w:r>
        <w:t xml:space="preserve">1. **Regulatory Complexity**: Financial Analysts in Bogotá must navigate stringent regulations, including Colombia’s anti-money laundering (AML) laws and tax incentives for green energy projects. This requires a deep understanding of both local and international compliance standards.</w:t>
      </w:r>
    </w:p>
    <w:p>
      <w:pPr>
        <w:pStyle w:val="BodyText"/>
      </w:pPr>
      <w:r>
        <w:t xml:space="preserve">2. **Technological Adaptation**: The rise of fintech startups in Bogotá (e.g., Nequi, Rappi) has transformed the role of Financial Analysts, who now integrate AI-driven tools for predictive analytics and risk assessment.</w:t>
      </w:r>
    </w:p>
    <w:p>
      <w:pPr>
        <w:pStyle w:val="BodyText"/>
      </w:pPr>
      <w:r>
        <w:t xml:space="preserve">3. **Sustainability Focus**: With Colombia’s commitment to net-zero emissions by 2050, Financial Analysts are increasingly tasked with evaluating ESG (Environmental, Social, Governance) metrics for both public and private sectors in Bogotá.</w:t>
      </w:r>
    </w:p>
    <w:bookmarkEnd w:id="24"/>
    <w:bookmarkStart w:id="25" w:name="X8536e88bc5b6db703bc9c5f953484e65202cec9"/>
    <w:p>
      <w:pPr>
        <w:pStyle w:val="Heading2"/>
      </w:pPr>
      <w:r>
        <w:t xml:space="preserve">Discussion: Implications for Practice and Policy</w:t>
      </w:r>
    </w:p>
    <w:p>
      <w:pPr>
        <w:pStyle w:val="FirstParagraph"/>
      </w:pPr>
      <w:r>
        <w:t xml:space="preserve">The findings underscore the need for Financial Analysts in Bogotá to be multidisciplinary professionals, equipped with skills in data science, regulatory compliance, and sustainable finance. Universities such as Universidad de los Andes and Universidad Nacional de Colombia are already incorporating these elements into their Master’s programs.</w:t>
      </w:r>
    </w:p>
    <w:p>
      <w:pPr>
        <w:pStyle w:val="BodyText"/>
      </w:pPr>
      <w:r>
        <w:t xml:space="preserve">However, gaps remain in training for localized challenges—such as analyzing informal sector data or addressing regional disparities within Bogotá. Policymakers must collaborate with academia to align curricula with industry needs, ensuring that future Financial Analysts can drive Colombia’s economic resilience.</w:t>
      </w:r>
    </w:p>
    <w:bookmarkEnd w:id="25"/>
    <w:bookmarkStart w:id="26" w:name="conclusion"/>
    <w:p>
      <w:pPr>
        <w:pStyle w:val="Heading2"/>
      </w:pPr>
      <w:r>
        <w:t xml:space="preserve">Conclusion</w:t>
      </w:r>
    </w:p>
    <w:p>
      <w:pPr>
        <w:pStyle w:val="FirstParagraph"/>
      </w:pPr>
      <w:r>
        <w:t xml:space="preserve">This thesis highlights the critical role of Financial Analysts in Bogotá as architects of Colombia’s financial future. By leveraging their expertise to address local and global challenges, these professionals contribute to Bogotá’s reputation as a regional economic leader. Future research should explore the integration of blockchain technology in financial analysis or the impact of remote work on analyst productivity in Bogotá’s post-pandemic landscape.</w:t>
      </w:r>
    </w:p>
    <w:p>
      <w:pPr>
        <w:pStyle w:val="BodyText"/>
      </w:pPr>
      <w:r>
        <w:t xml:space="preserve">The journey of a Financial Analyst in Colombia’s capital is not just about numbers—it is about shaping a sustainable, equitable, and innovative economy for generations to come.</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[Another Author], (Year). Title of Report. Institution Name.</w:t>
      </w:r>
    </w:p>
    <w:p>
      <w:pPr>
        <w:numPr>
          <w:ilvl w:val="0"/>
          <w:numId w:val="1001"/>
        </w:numPr>
        <w:pStyle w:val="Compact"/>
      </w:pPr>
      <w:r>
        <w:t xml:space="preserve">Banco de la República, (Year). Economic Reports of Colombia.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Colombia's Bogotá</dc:title>
  <dc:creator/>
  <dc:language>en</dc:language>
  <cp:keywords/>
  <dcterms:created xsi:type="dcterms:W3CDTF">2026-07-23T07:41:34Z</dcterms:created>
  <dcterms:modified xsi:type="dcterms:W3CDTF">2026-07-23T07:41:34Z</dcterms:modified>
</cp:coreProperties>
</file>

<file path=docProps/custom.xml><?xml version="1.0" encoding="utf-8"?>
<Properties xmlns="http://schemas.openxmlformats.org/officeDocument/2006/custom-properties" xmlns:vt="http://schemas.openxmlformats.org/officeDocument/2006/docPropsVTypes"/>
</file>