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593d1243aeed5c7214844b2e648582227a9d295"/>
    <w:p>
      <w:pPr>
        <w:pStyle w:val="Heading1"/>
      </w:pPr>
      <w:r>
        <w:t xml:space="preserve">Master Thesis: The Role of Financial Analysts in Iran, Tehran</w:t>
      </w:r>
    </w:p>
    <w:bookmarkStart w:id="20" w:name="abstract"/>
    <w:p>
      <w:pPr>
        <w:pStyle w:val="Heading2"/>
      </w:pPr>
      <w:r>
        <w:t xml:space="preserve">Abstract</w:t>
      </w:r>
    </w:p>
    <w:p>
      <w:pPr>
        <w:pStyle w:val="FirstParagraph"/>
      </w:pPr>
      <w:r>
        <w:t xml:space="preserve">This Master Thesis explores the critical role of Financial Analysts in the economic landscape of Iran, with a specific focus on Tehran, the capital and financial hub of the country. Given the unique challenges and opportunities present in Iran’s economy—such as geopolitical tensions, currency fluctuations, and regulatory frameworks—this study analyzes how Financial Analysts contribute to strategic decision-making in both public and private sectors. By examining case studies from Tehran’s financial institutions, this thesis highlights the evolving responsibilities of Financial Analysts in navigating Iran’s complex economic environment.</w:t>
      </w:r>
    </w:p>
    <w:bookmarkEnd w:id="20"/>
    <w:bookmarkStart w:id="21" w:name="introduction"/>
    <w:p>
      <w:pPr>
        <w:pStyle w:val="Heading2"/>
      </w:pPr>
      <w:r>
        <w:t xml:space="preserve">Introduction</w:t>
      </w:r>
    </w:p>
    <w:p>
      <w:pPr>
        <w:pStyle w:val="FirstParagraph"/>
      </w:pPr>
      <w:r>
        <w:t xml:space="preserve">The Master Thesis titled “The Role of Financial Analysts in Iran, Tehran” aims to address the growing importance of financial expertise in a region marked by economic volatility. As a key player in the global economy, Iran faces unique challenges that require skilled professionals like Financial Analysts to interpret data, forecast trends, and advise stakeholders. In Tehran, where over half of Iran’s financial services industry is concentrated (Central Bank of Iran Statistics 2023), Financial Analysts play a pivotal role in managing risks associated with inflation rates exceeding 40%, currency devaluation (e.g., the rial’s depreciation against the US dollar), and international sanctions. This thesis underscores how these professionals adapt their methodologies to align with Iran’s specific economic realities.</w:t>
      </w:r>
    </w:p>
    <w:bookmarkEnd w:id="21"/>
    <w:bookmarkStart w:id="22" w:name="literature-review"/>
    <w:p>
      <w:pPr>
        <w:pStyle w:val="Heading2"/>
      </w:pPr>
      <w:r>
        <w:t xml:space="preserve">Literature Review</w:t>
      </w:r>
    </w:p>
    <w:p>
      <w:pPr>
        <w:pStyle w:val="FirstParagraph"/>
      </w:pPr>
      <w:r>
        <w:t xml:space="preserve">Existing research on Financial Analysts globally emphasizes their role in capital budgeting, portfolio management, and risk assessment. However, studies focusing on Iran are limited, particularly in the context of Tehran’s financial ecosystem. A 2021 report by the Iranian Association of Financial Planners noted that Financial Analysts in Tehran often face constraints due to restricted access to international financial databases (e.g., Bloomberg) and reliance on localized data sources. This thesis builds on these insights by exploring how Financial Analysts in Iran leverage alternative tools, such as AI-driven local analytics platforms, to provide actionable recommendations.</w:t>
      </w:r>
    </w:p>
    <w:bookmarkEnd w:id="22"/>
    <w:bookmarkStart w:id="23" w:name="methodology"/>
    <w:p>
      <w:pPr>
        <w:pStyle w:val="Heading2"/>
      </w:pPr>
      <w:r>
        <w:t xml:space="preserve">Methodology</w:t>
      </w:r>
    </w:p>
    <w:p>
      <w:pPr>
        <w:pStyle w:val="FirstParagraph"/>
      </w:pPr>
      <w:r>
        <w:t xml:space="preserve">The Master Thesis employs a qualitative case study approach, focusing on Financial Analysts working in Tehran’s financial institutions. Data was collected through semi-structured interviews with 15 professionals from banks, investment firms, and government agencies. Additionally, secondary data from the Central Bank of Iran and reports by the World Bank were analyzed to contextualize the findings within broader economic trends. This methodology allows for a nuanced understanding of how Financial Analysts in Tehran balance compliance with Iranian regulations while addressing global financial challenges.</w:t>
      </w:r>
    </w:p>
    <w:bookmarkEnd w:id="23"/>
    <w:bookmarkStart w:id="24" w:name="key-findings"/>
    <w:p>
      <w:pPr>
        <w:pStyle w:val="Heading2"/>
      </w:pPr>
      <w:r>
        <w:t xml:space="preserve">Key Findings</w:t>
      </w:r>
    </w:p>
    <w:p>
      <w:pPr>
        <w:numPr>
          <w:ilvl w:val="0"/>
          <w:numId w:val="1001"/>
        </w:numPr>
        <w:pStyle w:val="Compact"/>
      </w:pPr>
      <w:r>
        <w:rPr>
          <w:bCs/>
          <w:b/>
        </w:rPr>
        <w:t xml:space="preserve">Economic Sanctions and Data Limitations:</w:t>
      </w:r>
      <w:r>
        <w:t xml:space="preserve"> </w:t>
      </w:r>
      <w:r>
        <w:t xml:space="preserve">Financial Analysts in Tehran rely heavily on localized datasets due to restrictions imposed by international sanctions. For example, the use of non-traditional metrics like informal trade statistics (e.g., barter transactions) has become a common practice.</w:t>
      </w:r>
    </w:p>
    <w:p>
      <w:pPr>
        <w:numPr>
          <w:ilvl w:val="0"/>
          <w:numId w:val="1001"/>
        </w:numPr>
        <w:pStyle w:val="Compact"/>
      </w:pPr>
      <w:r>
        <w:rPr>
          <w:bCs/>
          <w:b/>
        </w:rPr>
        <w:t xml:space="preserve">Currency Volatility Management:</w:t>
      </w:r>
      <w:r>
        <w:t xml:space="preserve"> </w:t>
      </w:r>
      <w:r>
        <w:t xml:space="preserve">Many analysts prioritize strategies to hedge against the rial’s instability, such as advising firms to diversify revenue streams into foreign currencies or cryptocurrency alternatives permitted by Iranian law.</w:t>
      </w:r>
    </w:p>
    <w:p>
      <w:pPr>
        <w:numPr>
          <w:ilvl w:val="0"/>
          <w:numId w:val="1001"/>
        </w:numPr>
        <w:pStyle w:val="Compact"/>
      </w:pPr>
      <w:r>
        <w:rPr>
          <w:bCs/>
          <w:b/>
        </w:rPr>
        <w:t xml:space="preserve">Regulatory Compliance:</w:t>
      </w:r>
      <w:r>
        <w:t xml:space="preserve"> </w:t>
      </w:r>
      <w:r>
        <w:t xml:space="preserve">Financial Analysts must navigate Iran’s dual regulatory environment, which includes both domestic laws and informal networks (e.g., hawala systems) used to bypass sanctions. This requires a deep understanding of both legal and ethical frameworks.</w:t>
      </w:r>
    </w:p>
    <w:p>
      <w:pPr>
        <w:numPr>
          <w:ilvl w:val="0"/>
          <w:numId w:val="1001"/>
        </w:numPr>
        <w:pStyle w:val="Compact"/>
      </w:pPr>
      <w:r>
        <w:rPr>
          <w:bCs/>
          <w:b/>
        </w:rPr>
        <w:t xml:space="preserve">Tech-Driven Solutions:</w:t>
      </w:r>
      <w:r>
        <w:t xml:space="preserve"> </w:t>
      </w:r>
      <w:r>
        <w:t xml:space="preserve">The rise of fintech startups in Tehran has introduced new tools for financial modeling, such as AI-powered platforms that simulate economic scenarios under varying sanctions regimes.</w:t>
      </w:r>
    </w:p>
    <w:bookmarkEnd w:id="24"/>
    <w:bookmarkStart w:id="25" w:name="X7893ed64e3da698bd8e937105949414793b4778"/>
    <w:p>
      <w:pPr>
        <w:pStyle w:val="Heading2"/>
      </w:pPr>
      <w:r>
        <w:t xml:space="preserve">Challenges Faced by Financial Analysts in Iran, Tehran</w:t>
      </w:r>
    </w:p>
    <w:p>
      <w:pPr>
        <w:pStyle w:val="FirstParagraph"/>
      </w:pPr>
      <w:r>
        <w:t xml:space="preserve">The Master Thesis identifies several challenges unique to Financial Analysts operating in Iran. These include:</w:t>
      </w:r>
    </w:p>
    <w:p>
      <w:pPr>
        <w:numPr>
          <w:ilvl w:val="0"/>
          <w:numId w:val="1002"/>
        </w:numPr>
        <w:pStyle w:val="Compact"/>
      </w:pPr>
      <w:r>
        <w:rPr>
          <w:bCs/>
          <w:b/>
        </w:rPr>
        <w:t xml:space="preserve">Limited Access to Global Markets:</w:t>
      </w:r>
      <w:r>
        <w:t xml:space="preserve"> </w:t>
      </w:r>
      <w:r>
        <w:t xml:space="preserve">Sanctions restrict access to international financial tools, forcing analysts to rely on outdated or incomplete data.</w:t>
      </w:r>
    </w:p>
    <w:p>
      <w:pPr>
        <w:numPr>
          <w:ilvl w:val="0"/>
          <w:numId w:val="1002"/>
        </w:numPr>
        <w:pStyle w:val="Compact"/>
      </w:pPr>
      <w:r>
        <w:rPr>
          <w:bCs/>
          <w:b/>
        </w:rPr>
        <w:t xml:space="preserve">Inflationary Pressures:</w:t>
      </w:r>
      <w:r>
        <w:t xml:space="preserve"> </w:t>
      </w:r>
      <w:r>
        <w:t xml:space="preserve">Hyperinflation has rendered traditional financial models less effective, requiring continuous recalibration of assumptions and variables.</w:t>
      </w:r>
    </w:p>
    <w:p>
      <w:pPr>
        <w:numPr>
          <w:ilvl w:val="0"/>
          <w:numId w:val="1002"/>
        </w:numPr>
        <w:pStyle w:val="Compact"/>
      </w:pPr>
      <w:r>
        <w:rPr>
          <w:bCs/>
          <w:b/>
        </w:rPr>
        <w:t xml:space="preserve">Cultural and Political Factors:</w:t>
      </w:r>
      <w:r>
        <w:t xml:space="preserve"> </w:t>
      </w:r>
      <w:r>
        <w:t xml:space="preserve">Analysts must often align their recommendations with state policies, such as prioritizing projects aligned with Iran’s “national economic strategy.”</w:t>
      </w:r>
    </w:p>
    <w:bookmarkEnd w:id="25"/>
    <w:bookmarkStart w:id="26" w:name="X2ed3c2ba203e8bc42fe41971b9af1321b6a62c5"/>
    <w:p>
      <w:pPr>
        <w:pStyle w:val="Heading2"/>
      </w:pPr>
      <w:r>
        <w:t xml:space="preserve">Opportunities for Financial Analysts in Tehran</w:t>
      </w:r>
    </w:p>
    <w:p>
      <w:pPr>
        <w:pStyle w:val="FirstParagraph"/>
      </w:pPr>
      <w:r>
        <w:t xml:space="preserve">Despite these challenges, the Master Thesis highlights emerging opportunities. The growth of Tehran’s fintech sector has created demand for Financial Analysts skilled in blockchain technology and AI-driven analytics. Additionally, Iran’s focus on self-reliance (e.g., the “Resilient Economy” initiative) has spurred innovation in domestic financial planning tools. Furthermore, the increasing interest from international investors in Iran’s energy and tech sectors has opened new avenues for collaboration between Iranian Financial Analysts and global experts.</w:t>
      </w:r>
    </w:p>
    <w:bookmarkEnd w:id="26"/>
    <w:bookmarkStart w:id="27" w:name="conclusion"/>
    <w:p>
      <w:pPr>
        <w:pStyle w:val="Heading2"/>
      </w:pPr>
      <w:r>
        <w:t xml:space="preserve">Conclusion</w:t>
      </w:r>
    </w:p>
    <w:p>
      <w:pPr>
        <w:pStyle w:val="FirstParagraph"/>
      </w:pPr>
      <w:r>
        <w:t xml:space="preserve">This Master Thesis concludes that Financial Analysts in Tehran are essential to Iran’s economic resilience, particularly amid geopolitical uncertainties. Their ability to adapt traditional financial practices to local conditions—whether through alternative data sources, compliance-driven strategies, or tech innovation—positions them as key stakeholders in shaping Iran’s future. For students and professionals pursuing a career in Financial Analysis within Iran, understanding the interplay between global trends and Tehran’s unique economic context is critical. Future research could explore the long-term impact of AI and blockchain on the profession in this region.</w:t>
      </w:r>
    </w:p>
    <w:bookmarkEnd w:id="27"/>
    <w:bookmarkStart w:id="28" w:name="references"/>
    <w:p>
      <w:pPr>
        <w:pStyle w:val="Heading2"/>
      </w:pPr>
      <w:r>
        <w:t xml:space="preserve">References</w:t>
      </w:r>
    </w:p>
    <w:p>
      <w:pPr>
        <w:pStyle w:val="FirstParagraph"/>
      </w:pPr>
      <w:r>
        <w:t xml:space="preserve">Central Bank of Iran. (2023).</w:t>
      </w:r>
      <w:r>
        <w:t xml:space="preserve"> </w:t>
      </w:r>
      <w:r>
        <w:rPr>
          <w:iCs/>
          <w:i/>
        </w:rPr>
        <w:t xml:space="preserve">Economic Statistics Report for Tehran Province</w:t>
      </w:r>
      <w:r>
        <w:t xml:space="preserve">.</w:t>
      </w:r>
      <w:r>
        <w:br/>
      </w:r>
      <w:r>
        <w:t xml:space="preserve">World Bank. (2021).</w:t>
      </w:r>
      <w:r>
        <w:t xml:space="preserve"> </w:t>
      </w:r>
      <w:r>
        <w:rPr>
          <w:iCs/>
          <w:i/>
        </w:rPr>
        <w:t xml:space="preserve">Iran Economic Update: Navigating Sanctions and Opportunities</w:t>
      </w:r>
      <w:r>
        <w:t xml:space="preserve">.</w:t>
      </w:r>
      <w:r>
        <w:br/>
      </w:r>
      <w:r>
        <w:t xml:space="preserve">Iranian Association of Financial Planners. (2021).</w:t>
      </w:r>
      <w:r>
        <w:t xml:space="preserve"> </w:t>
      </w:r>
      <w:r>
        <w:rPr>
          <w:iCs/>
          <w:i/>
        </w:rPr>
        <w:t xml:space="preserve">Challenges Facing Financial Analysts in Iran</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Iran Tehran</dc:title>
  <dc:creator/>
  <dc:language>en</dc:language>
  <cp:keywords/>
  <dcterms:created xsi:type="dcterms:W3CDTF">2026-07-14T05:24:48Z</dcterms:created>
  <dcterms:modified xsi:type="dcterms:W3CDTF">2026-07-14T05:24:48Z</dcterms:modified>
</cp:coreProperties>
</file>

<file path=docProps/custom.xml><?xml version="1.0" encoding="utf-8"?>
<Properties xmlns="http://schemas.openxmlformats.org/officeDocument/2006/custom-properties" xmlns:vt="http://schemas.openxmlformats.org/officeDocument/2006/docPropsVTypes"/>
</file>