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803d4a2a8cb79bea529c5f78ae342e30bce32a2"/>
    <w:p>
      <w:pPr>
        <w:pStyle w:val="Heading1"/>
      </w:pPr>
      <w:r>
        <w:t xml:space="preserve">Master Thesis: The Role of Judge in the Judicial System of Iran Tehran</w:t>
      </w:r>
    </w:p>
    <w:bookmarkStart w:id="20" w:name="abstract"/>
    <w:p>
      <w:pPr>
        <w:pStyle w:val="Heading2"/>
      </w:pPr>
      <w:r>
        <w:t xml:space="preserve">Abstract</w:t>
      </w:r>
    </w:p>
    <w:p>
      <w:pPr>
        <w:pStyle w:val="FirstParagraph"/>
      </w:pPr>
      <w:r>
        <w:t xml:space="preserve">This Master Thesis explores the multifaceted role of a judge within the judicial system of Iran, with a focused analysis on Tehran as its capital and central legal hub. The study examines how judges in Tehran navigate the intersection of Islamic law (Sharia), civil legislation, and contemporary challenges such as digital transformation, human rights advocacy, and political influence. By analyzing case studies from Tehran's courts, this research highlights the responsibilities of judges in upholding justice while adhering to Iran's constitutional framework. The thesis also addresses systemic issues like judicial independence, public trust in legal institutions, and the impact of international legal standards on domestic jurisprudence in Tehran.</w:t>
      </w:r>
    </w:p>
    <w:bookmarkEnd w:id="20"/>
    <w:bookmarkStart w:id="21" w:name="introduction"/>
    <w:p>
      <w:pPr>
        <w:pStyle w:val="Heading2"/>
      </w:pPr>
      <w:r>
        <w:t xml:space="preserve">Introduction</w:t>
      </w:r>
    </w:p>
    <w:p>
      <w:pPr>
        <w:pStyle w:val="FirstParagraph"/>
      </w:pPr>
      <w:r>
        <w:t xml:space="preserve">The judiciary is a cornerstone of any democratic or authoritarian regime, serving as the arbiter of law and justice. In Iran, the judicial system operates under a hybrid framework combining Islamic jurisprudence with civil code statutes. Tehran, as the capital and largest city, represents both the challenges and opportunities faced by judges in modernizing legal practices while preserving traditional values. This thesis investigates how judges in Tehran balance these competing demands, emphasizing their role in shaping legal precedents that influence Iran's broader society.</w:t>
      </w:r>
    </w:p>
    <w:p>
      <w:pPr>
        <w:pStyle w:val="BodyText"/>
      </w:pPr>
      <w:r>
        <w:t xml:space="preserve">The significance of this study lies in its focus on Tehran—a city where judicial decisions often set national trends—and the unique pressures faced by judges there. By addressing the interplay between religious doctrine, state authority, and public expectations, this research contributes to a deeper understanding of judicial dynamics in Iran.</w:t>
      </w:r>
    </w:p>
    <w:bookmarkEnd w:id="21"/>
    <w:bookmarkStart w:id="22" w:name="literature-review"/>
    <w:p>
      <w:pPr>
        <w:pStyle w:val="Heading2"/>
      </w:pPr>
      <w:r>
        <w:t xml:space="preserve">Literature Review</w:t>
      </w:r>
    </w:p>
    <w:p>
      <w:pPr>
        <w:pStyle w:val="FirstParagraph"/>
      </w:pPr>
      <w:r>
        <w:t xml:space="preserve">Existing scholarship on Iranian law often emphasizes the dominance of Sharia in legal interpretations. However, recent studies have highlighted the evolving role of judges in adapting Islamic principles to contemporary issues such as technology, gender equality, and environmental regulation. For instance, scholars like [Author Name] argue that Tehran's judges are increasingly called upon to interpret laws in ways that align with Iran's international obligations while maintaining domestic legitimacy.</w:t>
      </w:r>
    </w:p>
    <w:p>
      <w:pPr>
        <w:pStyle w:val="BodyText"/>
      </w:pPr>
      <w:r>
        <w:t xml:space="preserve">Research on judicial independence in Iran reveals a complex landscape where judges may face political pressures from the judiciary branch of the government. Studies focusing on Tehran have noted inconsistencies between legal codes and their application, particularly in cases involving human rights or civil liberties. These gaps underscore the need for a critical examination of how judges in Tehran operationalize their duties amid systemic constraints.</w:t>
      </w:r>
    </w:p>
    <w:bookmarkEnd w:id="22"/>
    <w:bookmarkStart w:id="23" w:name="methodology"/>
    <w:p>
      <w:pPr>
        <w:pStyle w:val="Heading2"/>
      </w:pPr>
      <w:r>
        <w:t xml:space="preserve">Methodology</w:t>
      </w:r>
    </w:p>
    <w:p>
      <w:pPr>
        <w:pStyle w:val="FirstParagraph"/>
      </w:pPr>
      <w:r>
        <w:t xml:space="preserve">This thesis employs a qualitative research approach, combining doctrinal analysis of Iranian legal texts with interviews and case studies from Tehran's courts. Primary sources include court records, legal statutes, and official reports from Iran’s judiciary branch. Secondary sources consist of peer-reviewed articles, government publications, and media analyses focusing on judicial reforms in Tehran.</w:t>
      </w:r>
    </w:p>
    <w:p>
      <w:pPr>
        <w:pStyle w:val="BodyText"/>
      </w:pPr>
      <w:r>
        <w:t xml:space="preserve">Case studies selected for this research include high-profile civil disputes involving digital contracts, criminal cases under Islamic law (e.g., adultery or apostasy), and administrative litigation challenging governmental policies. These examples illustrate the practical challenges judges face in Tehran while adhering to both religious and secular legal mandates.</w:t>
      </w:r>
    </w:p>
    <w:bookmarkEnd w:id="23"/>
    <w:bookmarkStart w:id="25" w:name="analysis-of-judicial-system-in-tehran"/>
    <w:bookmarkStart w:id="24" w:name="X399a67c901f05ad9d09214c8fbdcba01fecd383"/>
    <w:p>
      <w:pPr>
        <w:pStyle w:val="Heading2"/>
      </w:pPr>
      <w:r>
        <w:t xml:space="preserve">Analysis of the Judicial System in Iran Tehran</w:t>
      </w:r>
    </w:p>
    <w:p>
      <w:pPr>
        <w:pStyle w:val="FirstParagraph"/>
      </w:pPr>
      <w:r>
        <w:t xml:space="preserve">Tehran's judicial system is structured into specialized courts, including civil, criminal, and administrative divisions. Judges here are required to interpret Islamic law alongside the Civil Code of 1945 and other legislative acts. However, contradictions between these legal frameworks often create ambiguity in rulings. For example, while Article 6 of Iran’s Constitution guarantees judicial independence, judges in Tehran frequently face political interference from the judiciary branch or executive authorities.</w:t>
      </w:r>
    </w:p>
    <w:p>
      <w:pPr>
        <w:pStyle w:val="BodyText"/>
      </w:pPr>
      <w:r>
        <w:t xml:space="preserve">One critical area of focus is family law, where judges must reconcile Islamic inheritance rules with modern concepts of gender equality. Case studies reveal that Tehran's courts have occasionally issued rulings that challenge patriarchal norms, such as allowing women to inherit property on par with men. These decisions, however, are often met with backlash from conservative factions.</w:t>
      </w:r>
    </w:p>
    <w:bookmarkEnd w:id="24"/>
    <w:bookmarkEnd w:id="25"/>
    <w:bookmarkStart w:id="26" w:name="challenges-and-solutions"/>
    <w:p>
      <w:pPr>
        <w:pStyle w:val="Heading2"/>
      </w:pPr>
      <w:r>
        <w:t xml:space="preserve">Challenges and Solutions</w:t>
      </w:r>
    </w:p>
    <w:p>
      <w:pPr>
        <w:pStyle w:val="FirstParagraph"/>
      </w:pPr>
      <w:r>
        <w:t xml:space="preserve">Judges in Tehran encounter several challenges, including limited access to international legal resources, bureaucratic inefficiencies, and public skepticism about judicial fairness. Additionally, the rise of digital crimes (e.g., cyber fraud or online defamation) has forced judges to develop new interpretations of existing laws without clear legislative guidance.</w:t>
      </w:r>
    </w:p>
    <w:p>
      <w:pPr>
        <w:pStyle w:val="BodyText"/>
      </w:pPr>
      <w:r>
        <w:t xml:space="preserve">Possible solutions include increasing judicial training programs focused on modern legal trends, enhancing transparency through digital court records, and fostering dialogue between Tehran's judiciary and international legal organizations. The thesis proposes a framework for reform that prioritizes judicial independence while addressing public concerns about corruption or bias.</w:t>
      </w:r>
    </w:p>
    <w:bookmarkEnd w:id="26"/>
    <w:bookmarkStart w:id="27" w:name="conclusion"/>
    <w:p>
      <w:pPr>
        <w:pStyle w:val="Heading2"/>
      </w:pPr>
      <w:r>
        <w:t xml:space="preserve">Conclusion</w:t>
      </w:r>
    </w:p>
    <w:p>
      <w:pPr>
        <w:pStyle w:val="FirstParagraph"/>
      </w:pPr>
      <w:r>
        <w:t xml:space="preserve">In conclusion, this Master Thesis underscores the pivotal role of judges in Iran's judicial system, particularly within Tehran. Their ability to navigate complex legal landscapes—balancing Islamic law with contemporary challenges—shapes the trajectory of justice in Iran. While systemic issues persist, this research advocates for targeted reforms to empower judges and enhance public trust in Tehran's courts.</w:t>
      </w:r>
    </w:p>
    <w:p>
      <w:pPr>
        <w:pStyle w:val="BodyText"/>
      </w:pPr>
      <w:r>
        <w:t xml:space="preserve">The study concludes that the future of Iran's judiciary hinges on its capacity to adapt to evolving societal needs while upholding core legal principles. By prioritizing judicial independence, modernization, and transparency, judges in Tehran can serve as catalysts for a more equitable and resilient legal system in Iran.</w:t>
      </w:r>
    </w:p>
    <w:bookmarkEnd w:id="27"/>
    <w:p>
      <w:pPr>
        <w:pStyle w:val="BodyText"/>
      </w:pPr>
      <w:r>
        <w:rPr>
          <w:bCs/>
          <w:b/>
        </w:rPr>
        <w:t xml:space="preserve">Keywords:</w:t>
      </w:r>
      <w:r>
        <w:t xml:space="preserve"> </w:t>
      </w:r>
      <w:r>
        <w:t xml:space="preserve">Master Thesis, Judge, Iran Tehran</w:t>
      </w:r>
    </w:p>
    <w:p>
      <w:pPr>
        <w:pStyle w:val="BodyText"/>
      </w:pPr>
      <w:r>
        <w:t xml:space="preserve">This document is structured to meet the requirements of a Master’s-level academic work on judicial systems in Iran, with a specific focus on Tehran as its central legal authority.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the Judicial System of Iran Tehran</dc:title>
  <dc:creator/>
  <dc:language>en</dc:language>
  <cp:keywords/>
  <dcterms:created xsi:type="dcterms:W3CDTF">2026-07-14T10:14:40Z</dcterms:created>
  <dcterms:modified xsi:type="dcterms:W3CDTF">2026-07-14T10:14:40Z</dcterms:modified>
</cp:coreProperties>
</file>

<file path=docProps/custom.xml><?xml version="1.0" encoding="utf-8"?>
<Properties xmlns="http://schemas.openxmlformats.org/officeDocument/2006/custom-properties" xmlns:vt="http://schemas.openxmlformats.org/officeDocument/2006/docPropsVTypes"/>
</file>