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Colombia's</w:t>
      </w:r>
      <w:r>
        <w:t xml:space="preserve"> </w:t>
      </w:r>
      <w:r>
        <w:t xml:space="preserve">Legal</w:t>
      </w:r>
      <w:r>
        <w:t xml:space="preserve"> </w:t>
      </w:r>
      <w:r>
        <w:t xml:space="preserve">Framework</w:t>
      </w:r>
      <w:r>
        <w:t xml:space="preserve"> </w:t>
      </w:r>
      <w:r>
        <w:t xml:space="preserve">with</w:t>
      </w:r>
      <w:r>
        <w:t xml:space="preserve"> </w:t>
      </w:r>
      <w:r>
        <w:t xml:space="preserve">Focus</w:t>
      </w:r>
      <w:r>
        <w:t xml:space="preserve"> </w:t>
      </w:r>
      <w:r>
        <w:t xml:space="preserve">on</w:t>
      </w:r>
      <w:r>
        <w:t xml:space="preserve"> </w:t>
      </w:r>
      <w:r>
        <w:t xml:space="preserve">Bogotá</w:t>
      </w:r>
    </w:p>
    <w:p>
      <w:pPr>
        <w:pStyle w:val="FirstParagraph"/>
      </w:pPr>
      <w:r>
        <w:t xml:space="preserve">```html</w:t>
      </w:r>
    </w:p>
    <w:bookmarkStart w:id="29" w:name="X663b24866e8d26dcf59edd9763c12c012539130"/>
    <w:p>
      <w:pPr>
        <w:pStyle w:val="Heading1"/>
      </w:pPr>
      <w:r>
        <w:t xml:space="preserve">Master Thesis: The Role of the Lawyer in Colombia's Legal Framework with Focus on Bogotá</w:t>
      </w:r>
    </w:p>
    <w:bookmarkStart w:id="20" w:name="abstract"/>
    <w:p>
      <w:pPr>
        <w:pStyle w:val="Heading2"/>
      </w:pPr>
      <w:r>
        <w:t xml:space="preserve">Abstract</w:t>
      </w:r>
    </w:p>
    <w:p>
      <w:pPr>
        <w:pStyle w:val="FirstParagraph"/>
      </w:pPr>
      <w:r>
        <w:t xml:space="preserve">This Master Thesis explores the evolving role of a lawyer within Colombia’s legal system, with a specific focus on Bogotá as the country’s political, economic, and judicial capital. The study examines how legal professionals navigate Colombia’s post-conflict landscape, addressing challenges such as human rights advocacy, transitional justice reforms, and socio-economic inequality. Through case studies of contemporary legal practices in Bogotá and an analysis of regional legal precedents, this thesis highlights the unique responsibilities of lawyers in fostering justice and reconciliation. It also evaluates the impact of technological advancements on legal services in Bogotá’s dynamic urban environment.</w:t>
      </w:r>
    </w:p>
    <w:bookmarkEnd w:id="20"/>
    <w:bookmarkStart w:id="21" w:name="introduction"/>
    <w:p>
      <w:pPr>
        <w:pStyle w:val="Heading2"/>
      </w:pPr>
      <w:r>
        <w:t xml:space="preserve">Introduction</w:t>
      </w:r>
    </w:p>
    <w:p>
      <w:pPr>
        <w:pStyle w:val="FirstParagraph"/>
      </w:pPr>
      <w:r>
        <w:t xml:space="preserve">Bogotá, as the capital of Colombia, serves as a critical hub for legal innovation, policy development, and judicial reform. The role of a lawyer in this context extends beyond traditional advocacy; it encompasses mediation in post-conflict scenarios, representation in international human rights courts, and collaboration with public institutions to address systemic inequities. This thesis investigates how the profession of law has adapted to Colombia’s complex socio-political environment while maintaining ethical integrity and adherence to national legislation such as the Constitutional Law of 1991 and recent reforms under the Peace Agreement with the FARC.</w:t>
      </w:r>
    </w:p>
    <w:bookmarkEnd w:id="21"/>
    <w:bookmarkStart w:id="22" w:name="literature-review"/>
    <w:p>
      <w:pPr>
        <w:pStyle w:val="Heading2"/>
      </w:pPr>
      <w:r>
        <w:t xml:space="preserve">Literature Review</w:t>
      </w:r>
    </w:p>
    <w:p>
      <w:pPr>
        <w:pStyle w:val="FirstParagraph"/>
      </w:pPr>
      <w:r>
        <w:t xml:space="preserve">Existing scholarship on Colombian law emphasizes the dual role of lawyers as both defenders of individual rights and agents of societal transformation. Studies by legal scholars such as Maria Elena Salazar (2018) and Juan Carlos Rojas (2020) highlight the challenges faced by Bogotá-based lawyers in addressing issues like land restitution, environmental protection, and gender-based violence. Additionally, research on the influence of international law—particularly the Inter-American Commission on Human Rights—has shaped legal strategies in Bogotá’s courts. This thesis builds on these studies by focusing on localized practices and the intersection of technology with traditional legal frameworks.</w:t>
      </w:r>
    </w:p>
    <w:bookmarkEnd w:id="22"/>
    <w:bookmarkStart w:id="23" w:name="methodology"/>
    <w:p>
      <w:pPr>
        <w:pStyle w:val="Heading2"/>
      </w:pPr>
      <w:r>
        <w:t xml:space="preserve">Methodology</w:t>
      </w:r>
    </w:p>
    <w:p>
      <w:pPr>
        <w:pStyle w:val="FirstParagraph"/>
      </w:pPr>
      <w:r>
        <w:t xml:space="preserve">The research methodology combines qualitative analysis of legal documents, interviews with practicing lawyers in Bogotá, and a case study approach to evaluate specific judicial outcomes. Data was collected through semi-structured interviews with 15 licensed attorneys specializing in human rights, corporate law, and public policy. Secondary sources included court rulings from the Colombian Supreme Court and reports from organizations such as the Centro de Memoria Histórica (CMH) in Bogotá.</w:t>
      </w:r>
    </w:p>
    <w:bookmarkEnd w:id="23"/>
    <w:bookmarkStart w:id="24" w:name="findings"/>
    <w:p>
      <w:pPr>
        <w:pStyle w:val="Heading2"/>
      </w:pPr>
      <w:r>
        <w:t xml:space="preserve">Findings</w:t>
      </w:r>
    </w:p>
    <w:p>
      <w:pPr>
        <w:pStyle w:val="FirstParagraph"/>
      </w:pPr>
      <w:r>
        <w:t xml:space="preserve">The findings reveal that lawyers in Bogotá increasingly act as mediators between state institutions and marginalized communities. For instance, legal professionals have played a pivotal role in facilitating land restitution claims under Colombia’s Victims and Land Restitution Law (Law 1448 of 2011). Additionally, the integration of digital tools—such as blockchain for contract verification and AI-driven legal research platforms—has enhanced efficiency in high-stakes litigation. However, challenges persist, including political interference in judicial processes and resource disparities between urban and rural legal representation.</w:t>
      </w:r>
    </w:p>
    <w:bookmarkEnd w:id="24"/>
    <w:bookmarkStart w:id="25" w:name="discussion"/>
    <w:p>
      <w:pPr>
        <w:pStyle w:val="Heading2"/>
      </w:pPr>
      <w:r>
        <w:t xml:space="preserve">Discussion</w:t>
      </w:r>
    </w:p>
    <w:p>
      <w:pPr>
        <w:pStyle w:val="FirstParagraph"/>
      </w:pPr>
      <w:r>
        <w:t xml:space="preserve">The discussion contextualizes the findings within Colombia’s broader socio-political framework. It argues that the lawyer’s role in Bogotá is intrinsically linked to the nation’s reconciliation efforts post-peace agreement. While technological advancements have democratized access to legal services, disparities in education and economic opportunity continue to limit equitable representation. The thesis also critiques the lack of standardized training for lawyers addressing transitional justice issues, proposing curricular reforms at institutions like Universidad de los Andes.</w:t>
      </w:r>
    </w:p>
    <w:bookmarkEnd w:id="25"/>
    <w:bookmarkStart w:id="26" w:name="conclusion"/>
    <w:p>
      <w:pPr>
        <w:pStyle w:val="Heading2"/>
      </w:pPr>
      <w:r>
        <w:t xml:space="preserve">Conclusion</w:t>
      </w:r>
    </w:p>
    <w:p>
      <w:pPr>
        <w:pStyle w:val="FirstParagraph"/>
      </w:pPr>
      <w:r>
        <w:t xml:space="preserve">This Master Thesis underscores the indispensable role of the lawyer in Colombia’s legal system, particularly within Bogotá’s influential urban landscape. It emphasizes the profession’s adaptability to both local and global challenges, from post-conflict justice to digital transformation. By highlighting best practices and systemic gaps, this study provides actionable insights for legal education institutions, policymakers, and practitioners in Colombia. Future research should explore the intersection of law and technology in rural Colombia to ensure inclusive justice nationwide.</w:t>
      </w:r>
    </w:p>
    <w:bookmarkEnd w:id="26"/>
    <w:bookmarkStart w:id="27" w:name="references"/>
    <w:p>
      <w:pPr>
        <w:pStyle w:val="Heading2"/>
      </w:pPr>
      <w:r>
        <w:t xml:space="preserve">References</w:t>
      </w:r>
    </w:p>
    <w:p>
      <w:pPr>
        <w:numPr>
          <w:ilvl w:val="0"/>
          <w:numId w:val="1001"/>
        </w:numPr>
        <w:pStyle w:val="Compact"/>
      </w:pPr>
      <w:r>
        <w:t xml:space="preserve">Salazar, M. E. (2018). *Transitional Justice in Post-Conflict Colombia*. Bogotá: Editorial Norma.</w:t>
      </w:r>
    </w:p>
    <w:p>
      <w:pPr>
        <w:numPr>
          <w:ilvl w:val="0"/>
          <w:numId w:val="1001"/>
        </w:numPr>
        <w:pStyle w:val="Compact"/>
      </w:pPr>
      <w:r>
        <w:t xml:space="preserve">Rojas, J. C. (2020). *Human Rights Litigation in Colombian Courts*. Revista Jurídica del Instituto de Estudios Políticos, 45(3), 112–135.</w:t>
      </w:r>
    </w:p>
    <w:p>
      <w:pPr>
        <w:numPr>
          <w:ilvl w:val="0"/>
          <w:numId w:val="1001"/>
        </w:numPr>
        <w:pStyle w:val="Compact"/>
      </w:pPr>
      <w:r>
        <w:t xml:space="preserve">Centro de Memoria Histórica. (2021). *Land Restitution Progress Report: Bogotá Region*.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Bogotá-Based Lawyers</w:t>
      </w:r>
      <w:r>
        <w:br/>
      </w:r>
      <w:r>
        <w:rPr>
          <w:bCs/>
          <w:b/>
        </w:rPr>
        <w:t xml:space="preserve">Appendix B:</w:t>
      </w:r>
      <w:r>
        <w:t xml:space="preserve"> </w:t>
      </w:r>
      <w:r>
        <w:t xml:space="preserve">Case Study: Land Restitution in Bogotá’s Suburb of Teusaquillo</w:t>
      </w:r>
      <w:r>
        <w:br/>
      </w:r>
      <w:r>
        <w:rPr>
          <w:bCs/>
          <w:b/>
        </w:rPr>
        <w:t xml:space="preserve">Appendix C:</w:t>
      </w:r>
      <w:r>
        <w:t xml:space="preserve"> </w:t>
      </w:r>
      <w:r>
        <w:t xml:space="preserve">Sample Legal Tech Tools Used by Colombian Attorneys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Colombia's Legal Framework with Focus on Bogotá</dc:title>
  <dc:creator/>
  <dc:language>en</dc:language>
  <cp:keywords/>
  <dcterms:created xsi:type="dcterms:W3CDTF">2026-07-23T12:11:02Z</dcterms:created>
  <dcterms:modified xsi:type="dcterms:W3CDTF">2026-07-23T12:11:02Z</dcterms:modified>
</cp:coreProperties>
</file>

<file path=docProps/custom.xml><?xml version="1.0" encoding="utf-8"?>
<Properties xmlns="http://schemas.openxmlformats.org/officeDocument/2006/custom-properties" xmlns:vt="http://schemas.openxmlformats.org/officeDocument/2006/docPropsVTypes"/>
</file>