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19982b88edd5265df25f7936d2321bb99c20b69"/>
    <w:p>
      <w:pPr>
        <w:pStyle w:val="Heading1"/>
      </w:pPr>
      <w:r>
        <w:t xml:space="preserve">Master Thesis: The Role and Challenges of a Lawyer in Saudi Arabia Jeddah</w:t>
      </w:r>
    </w:p>
    <w:p>
      <w:pPr>
        <w:pStyle w:val="FirstParagraph"/>
      </w:pPr>
      <w:r>
        <w:rPr>
          <w:bCs/>
          <w:b/>
        </w:rPr>
        <w:t xml:space="preserve">Abstract:</w:t>
      </w:r>
    </w:p>
    <w:p>
      <w:pPr>
        <w:pStyle w:val="BodyText"/>
      </w:pPr>
      <w:r>
        <w:t xml:space="preserve">This Master Thesis explores the evolving role of a lawyer in the context of Saudi Arabia, with a specific focus on the city of Jeddah. As one of the most dynamic legal hubs in the Kingdom, Jeddah presents unique opportunities and challenges for legal professionals. The study examines how lawyers navigate Saudi Arabia's hybrid legal system, which blends Islamic Sharia law with modern civil legislation, while addressing contemporary issues such as digital transformation, human rights advocacy, and corporate law in a rapidly globalizing economy.</w:t>
      </w:r>
    </w:p>
    <w:bookmarkStart w:id="20" w:name="introduction"/>
    <w:p>
      <w:pPr>
        <w:pStyle w:val="Heading2"/>
      </w:pPr>
      <w:r>
        <w:t xml:space="preserve">1. Introduction</w:t>
      </w:r>
    </w:p>
    <w:p>
      <w:pPr>
        <w:pStyle w:val="FirstParagraph"/>
      </w:pPr>
      <w:r>
        <w:t xml:space="preserve">Saudi Arabia’s legal landscape has undergone significant reforms in recent decades under Vision 2030, aiming to diversify the economy and modernize governance. Jeddah, as the second-largest city in Saudi Arabia and a key commercial center, serves as a microcosm of these changes. A lawyer practicing in Jeddah must be proficient not only in Islamic jurisprudence but also adept at interpreting new legislative frameworks, international treaties, and cross-border legal matters. This thesis investigates how legal professionals adapt to this dual system while contributing to the development of Saudi Arabia’s judicial infrastructure.</w:t>
      </w:r>
    </w:p>
    <w:bookmarkEnd w:id="20"/>
    <w:bookmarkStart w:id="21" w:name="legal-framework-in-saudi-arabia"/>
    <w:p>
      <w:pPr>
        <w:pStyle w:val="Heading2"/>
      </w:pPr>
      <w:r>
        <w:t xml:space="preserve">2. Legal Framework in Saudi Arabia</w:t>
      </w:r>
    </w:p>
    <w:p>
      <w:pPr>
        <w:pStyle w:val="FirstParagraph"/>
      </w:pPr>
      <w:r>
        <w:t xml:space="preserve">Saudi Arabia operates a hybrid legal system where Sharia law forms the foundation, supplemented by civil and commercial laws influenced by European models. Key legislations include:</w:t>
      </w:r>
    </w:p>
    <w:p>
      <w:pPr>
        <w:numPr>
          <w:ilvl w:val="0"/>
          <w:numId w:val="1001"/>
        </w:numPr>
        <w:pStyle w:val="Compact"/>
      </w:pPr>
      <w:r>
        <w:rPr>
          <w:bCs/>
          <w:b/>
        </w:rPr>
        <w:t xml:space="preserve">Islamic Law (Sharia):</w:t>
      </w:r>
      <w:r>
        <w:t xml:space="preserve"> </w:t>
      </w:r>
      <w:r>
        <w:t xml:space="preserve">Governs personal status issues such as marriage, inheritance, and family matters.</w:t>
      </w:r>
    </w:p>
    <w:p>
      <w:pPr>
        <w:numPr>
          <w:ilvl w:val="0"/>
          <w:numId w:val="1001"/>
        </w:numPr>
        <w:pStyle w:val="Compact"/>
      </w:pPr>
      <w:r>
        <w:rPr>
          <w:bCs/>
          <w:b/>
        </w:rPr>
        <w:t xml:space="preserve">Civil Transactions Law (2018):</w:t>
      </w:r>
      <w:r>
        <w:t xml:space="preserve"> </w:t>
      </w:r>
      <w:r>
        <w:t xml:space="preserve">Streamlines commercial contracts and dispute resolution mechanisms.</w:t>
      </w:r>
    </w:p>
    <w:p>
      <w:pPr>
        <w:numPr>
          <w:ilvl w:val="0"/>
          <w:numId w:val="1001"/>
        </w:numPr>
        <w:pStyle w:val="Compact"/>
      </w:pPr>
      <w:r>
        <w:rPr>
          <w:bCs/>
          <w:b/>
        </w:rPr>
        <w:t xml:space="preserve">E-Commerce Regulation:</w:t>
      </w:r>
      <w:r>
        <w:t xml:space="preserve"> </w:t>
      </w:r>
      <w:r>
        <w:t xml:space="preserve">Addresses digital transactions and data privacy in alignment with global standards.</w:t>
      </w:r>
    </w:p>
    <w:p>
      <w:pPr>
        <w:pStyle w:val="FirstParagraph"/>
      </w:pPr>
      <w:r>
        <w:t xml:space="preserve">Jeddah’s legal practitioners must balance these elements, ensuring compliance with both traditional values and international best practices. For instance, lawyers handling corporate law in Jeddah often mediate between Saudi Arabian traditions and foreign investors’ expectations.</w:t>
      </w:r>
    </w:p>
    <w:bookmarkEnd w:id="21"/>
    <w:bookmarkStart w:id="22" w:name="challenges-for-lawyers-in-jeddah"/>
    <w:p>
      <w:pPr>
        <w:pStyle w:val="Heading2"/>
      </w:pPr>
      <w:r>
        <w:t xml:space="preserve">3. Challenges for Lawyers in Jeddah</w:t>
      </w:r>
    </w:p>
    <w:p>
      <w:pPr>
        <w:pStyle w:val="FirstParagraph"/>
      </w:pPr>
      <w:r>
        <w:t xml:space="preserve">The role of a lawyer in Jeddah is multifaceted, requiring expertise in diverse areas such as:</w:t>
      </w:r>
    </w:p>
    <w:p>
      <w:pPr>
        <w:numPr>
          <w:ilvl w:val="0"/>
          <w:numId w:val="1002"/>
        </w:numPr>
        <w:pStyle w:val="Compact"/>
      </w:pPr>
      <w:r>
        <w:rPr>
          <w:bCs/>
          <w:b/>
        </w:rPr>
        <w:t xml:space="preserve">Cultural Sensitivity:</w:t>
      </w:r>
      <w:r>
        <w:t xml:space="preserve"> </w:t>
      </w:r>
      <w:r>
        <w:t xml:space="preserve">Navigating religious and societal norms while advocating for clients’ rights.</w:t>
      </w:r>
    </w:p>
    <w:p>
      <w:pPr>
        <w:numPr>
          <w:ilvl w:val="0"/>
          <w:numId w:val="1002"/>
        </w:numPr>
        <w:pStyle w:val="Compact"/>
      </w:pPr>
      <w:r>
        <w:rPr>
          <w:bCs/>
          <w:b/>
        </w:rPr>
        <w:t xml:space="preserve">Legal Reforms:</w:t>
      </w:r>
      <w:r>
        <w:t xml:space="preserve"> </w:t>
      </w:r>
      <w:r>
        <w:t xml:space="preserve">Adapting to rapid legislative changes, such as the introduction of the Saudi Civil Code (2020) and gender equality initiatives.</w:t>
      </w:r>
    </w:p>
    <w:p>
      <w:pPr>
        <w:numPr>
          <w:ilvl w:val="0"/>
          <w:numId w:val="1002"/>
        </w:numPr>
        <w:pStyle w:val="Compact"/>
      </w:pPr>
      <w:r>
        <w:rPr>
          <w:bCs/>
          <w:b/>
        </w:rPr>
        <w:t xml:space="preserve">Digital Transformation:</w:t>
      </w:r>
      <w:r>
        <w:t xml:space="preserve"> </w:t>
      </w:r>
      <w:r>
        <w:t xml:space="preserve">Leveraging technology in legal services, including virtual court proceedings and AI-driven legal research tools.</w:t>
      </w:r>
    </w:p>
    <w:p>
      <w:pPr>
        <w:pStyle w:val="FirstParagraph"/>
      </w:pPr>
      <w:r>
        <w:t xml:space="preserve">A critical challenge is reconciling Sharia law with modern civil codes. For example, the recent reform of guardianship laws for women in Jeddah has required lawyers to redefine their approach to family law cases while respecting cultural sensitivities.</w:t>
      </w:r>
    </w:p>
    <w:bookmarkEnd w:id="22"/>
    <w:bookmarkStart w:id="23" w:name="case-studies-from-jeddah"/>
    <w:p>
      <w:pPr>
        <w:pStyle w:val="Heading2"/>
      </w:pPr>
      <w:r>
        <w:t xml:space="preserve">4. Case Studies from Jeddah</w:t>
      </w:r>
    </w:p>
    <w:p>
      <w:pPr>
        <w:pStyle w:val="FirstParagraph"/>
      </w:pPr>
      <w:r>
        <w:t xml:space="preserve">Case studies highlight the practical application of legal theory in Jeddah:</w:t>
      </w:r>
    </w:p>
    <w:p>
      <w:pPr>
        <w:numPr>
          <w:ilvl w:val="0"/>
          <w:numId w:val="1003"/>
        </w:numPr>
        <w:pStyle w:val="Compact"/>
      </w:pPr>
      <w:r>
        <w:rPr>
          <w:bCs/>
          <w:b/>
        </w:rPr>
        <w:t xml:space="preserve">Civil Dispute Resolution:</w:t>
      </w:r>
      <w:r>
        <w:t xml:space="preserve"> </w:t>
      </w:r>
      <w:r>
        <w:t xml:space="preserve">A 2021 case involved a multinational corporation and a local business partner in Jeddah, where lawyers had to resolve contract disputes under both Sharia principles and international commercial law.</w:t>
      </w:r>
    </w:p>
    <w:p>
      <w:pPr>
        <w:numPr>
          <w:ilvl w:val="0"/>
          <w:numId w:val="1003"/>
        </w:numPr>
        <w:pStyle w:val="Compact"/>
      </w:pPr>
      <w:r>
        <w:rPr>
          <w:bCs/>
          <w:b/>
        </w:rPr>
        <w:t xml:space="preserve">Human Rights Advocacy:</w:t>
      </w:r>
      <w:r>
        <w:t xml:space="preserve"> </w:t>
      </w:r>
      <w:r>
        <w:t xml:space="preserve">Lawyers in Jeddah have increasingly defended clients in cases involving labor rights, aligning with global human rights standards while adhering to Saudi Arabia’s legal framework.</w:t>
      </w:r>
    </w:p>
    <w:p>
      <w:pPr>
        <w:pStyle w:val="FirstParagraph"/>
      </w:pPr>
      <w:r>
        <w:t xml:space="preserve">These examples illustrate how lawyers in Jeddah must act as bridges between tradition and modernity, ensuring justice is served without compromising cultural integrity.</w:t>
      </w:r>
    </w:p>
    <w:bookmarkEnd w:id="23"/>
    <w:bookmarkStart w:id="24" w:name="opportunities-for-legal-professionals"/>
    <w:p>
      <w:pPr>
        <w:pStyle w:val="Heading2"/>
      </w:pPr>
      <w:r>
        <w:t xml:space="preserve">5. Opportunities for Legal Professionals</w:t>
      </w:r>
    </w:p>
    <w:p>
      <w:pPr>
        <w:pStyle w:val="FirstParagraph"/>
      </w:pPr>
      <w:r>
        <w:t xml:space="preserve">Jeddah’s growing economy presents unique opportunities for lawyers:</w:t>
      </w:r>
    </w:p>
    <w:p>
      <w:pPr>
        <w:numPr>
          <w:ilvl w:val="0"/>
          <w:numId w:val="1004"/>
        </w:numPr>
        <w:pStyle w:val="Compact"/>
      </w:pPr>
      <w:r>
        <w:rPr>
          <w:bCs/>
          <w:b/>
        </w:rPr>
        <w:t xml:space="preserve">Cross-Border Law:</w:t>
      </w:r>
      <w:r>
        <w:t xml:space="preserve"> </w:t>
      </w:r>
      <w:r>
        <w:t xml:space="preserve">Facilitating international trade agreements and investment deals between Saudi Arabia and global partners.</w:t>
      </w:r>
    </w:p>
    <w:p>
      <w:pPr>
        <w:numPr>
          <w:ilvl w:val="0"/>
          <w:numId w:val="1004"/>
        </w:numPr>
        <w:pStyle w:val="Compact"/>
      </w:pPr>
      <w:r>
        <w:rPr>
          <w:bCs/>
          <w:b/>
        </w:rPr>
        <w:t xml:space="preserve">Legal Education:</w:t>
      </w:r>
      <w:r>
        <w:t xml:space="preserve"> </w:t>
      </w:r>
      <w:r>
        <w:t xml:space="preserve">Contributing to the development of law schools in Jeddah, such as the King Abdulaziz University Faculty of Law.</w:t>
      </w:r>
    </w:p>
    <w:p>
      <w:pPr>
        <w:numPr>
          <w:ilvl w:val="0"/>
          <w:numId w:val="1004"/>
        </w:numPr>
        <w:pStyle w:val="Compact"/>
      </w:pPr>
      <w:r>
        <w:rPr>
          <w:bCs/>
          <w:b/>
        </w:rPr>
        <w:t xml:space="preserve">Sustainability Law:</w:t>
      </w:r>
      <w:r>
        <w:t xml:space="preserve"> </w:t>
      </w:r>
      <w:r>
        <w:t xml:space="preserve">Advising businesses on environmental regulations and green initiatives under Saudi Arabia’s sustainability goals.</w:t>
      </w:r>
    </w:p>
    <w:bookmarkEnd w:id="24"/>
    <w:bookmarkStart w:id="25" w:name="conclusion"/>
    <w:p>
      <w:pPr>
        <w:pStyle w:val="Heading2"/>
      </w:pPr>
      <w:r>
        <w:t xml:space="preserve">6. Conclusion</w:t>
      </w:r>
    </w:p>
    <w:p>
      <w:pPr>
        <w:pStyle w:val="FirstParagraph"/>
      </w:pPr>
      <w:r>
        <w:t xml:space="preserve">The role of a lawyer in Saudi Arabia Jeddah is both challenging and rewarding, requiring a unique blend of legal expertise, cultural awareness, and adaptability. As the Kingdom continues to modernize its legal system under Vision 2030, lawyers in Jeddah will play a pivotal role in shaping the future of justice. This Master Thesis underscores the importance of understanding Saudi Arabia’s dual legal framework while emphasizing the city’s significance as a hub for legal innovation and professional growth.</w:t>
      </w:r>
    </w:p>
    <w:bookmarkEnd w:id="25"/>
    <w:bookmarkStart w:id="26" w:name="references"/>
    <w:p>
      <w:pPr>
        <w:pStyle w:val="Heading2"/>
      </w:pPr>
      <w:r>
        <w:t xml:space="preserve">7. References</w:t>
      </w:r>
    </w:p>
    <w:p>
      <w:pPr>
        <w:pStyle w:val="FirstParagraph"/>
      </w:pPr>
      <w:r>
        <w:rPr>
          <w:iCs/>
          <w:i/>
        </w:rPr>
        <w:t xml:space="preserve">Kingdom of Saudi Arabia, Vision 2030 Legal Reforms (2016–present).</w:t>
      </w:r>
      <w:r>
        <w:br/>
      </w:r>
      <w:r>
        <w:rPr>
          <w:iCs/>
          <w:i/>
        </w:rPr>
        <w:t xml:space="preserve">Saudi Civil Code (2020).</w:t>
      </w:r>
      <w:r>
        <w:br/>
      </w:r>
      <w:r>
        <w:rPr>
          <w:iCs/>
          <w:i/>
        </w:rPr>
        <w:t xml:space="preserve">Jeddah Chamber of Commerce and Industry Annual Reports (various years).</w:t>
      </w:r>
      <w:r>
        <w:br/>
      </w:r>
      <w:r>
        <w:rPr>
          <w:iCs/>
          <w:i/>
        </w:rPr>
        <w:t xml:space="preserve">International Journal of Law and Society, “Legal Modernization in the Middle East” (Vol. 45,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Saudi Arabia Jeddah</dc:title>
  <dc:creator/>
  <dc:language>en</dc:language>
  <cp:keywords/>
  <dcterms:created xsi:type="dcterms:W3CDTF">2026-07-23T04:17:14Z</dcterms:created>
  <dcterms:modified xsi:type="dcterms:W3CDTF">2026-07-23T04:17:14Z</dcterms:modified>
</cp:coreProperties>
</file>

<file path=docProps/custom.xml><?xml version="1.0" encoding="utf-8"?>
<Properties xmlns="http://schemas.openxmlformats.org/officeDocument/2006/custom-properties" xmlns:vt="http://schemas.openxmlformats.org/officeDocument/2006/docPropsVTypes"/>
</file>