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c35738147ee12274b05b16c25b80b7d63373b99"/>
    <w:p>
      <w:pPr>
        <w:pStyle w:val="Heading1"/>
      </w:pPr>
      <w:r>
        <w:t xml:space="preserve">Master Thesis: The Role of Mathematicians in the Academic and Scientific Landscape of Belgium Brussels</w:t>
      </w:r>
    </w:p>
    <w:p>
      <w:pPr>
        <w:pStyle w:val="FirstParagraph"/>
      </w:pPr>
      <w:r>
        <w:rPr>
          <w:bCs/>
          <w:b/>
        </w:rPr>
        <w:t xml:space="preserve">Abstract:</w:t>
      </w:r>
      <w:r>
        <w:t xml:space="preserve"> </w:t>
      </w:r>
      <w:r>
        <w:t xml:space="preserve">This Master Thesis explores the historical, contemporary, and future contributions of mathematicians to the academic and scientific ecosystem of Belgium Brussels. Focusing on the unique interplay between mathematical research, educational institutions, and policy frameworks in this region, the study highlights how mathematicians have shaped innovation, technology, and interdisciplinary collaboration in Belgium. Through a combination of archival research, interviews with local scholars, and analysis of institutional data from universities such as Université Libre de Bruxelles (ULB) and Vrije Universiteit Brussel (VUB), this thesis underscores the significance of mathematicians as both knowledge creators and societal enablers in Brussels.</w:t>
      </w:r>
    </w:p>
    <w:bookmarkStart w:id="20" w:name="introduction"/>
    <w:p>
      <w:pPr>
        <w:pStyle w:val="Heading2"/>
      </w:pPr>
      <w:r>
        <w:t xml:space="preserve">1. Introduction</w:t>
      </w:r>
    </w:p>
    <w:p>
      <w:pPr>
        <w:pStyle w:val="FirstParagraph"/>
      </w:pPr>
      <w:r>
        <w:t xml:space="preserve">Belgium Brussels, a hub of political, cultural, and scientific activity in Europe, has long been recognized for its contributions to mathematics and related disciplines. As a bilingual region (Dutch and French), Brussels offers a unique environment where mathematicians engage in cross-border collaboration while adhering to national educational policies. This Master Thesis investigates how mathematicians have navigated the challenges of institutional frameworks, funding dynamics, and international partnerships to advance mathematical research in Belgium Brussels.</w:t>
      </w:r>
    </w:p>
    <w:p>
      <w:pPr>
        <w:pStyle w:val="BodyText"/>
      </w:pPr>
      <w:r>
        <w:t xml:space="preserve">The study is divided into five chapters: (1) an overview of historical contributions by prominent mathematicians from Brussels; (2) an analysis of current academic institutions and their research outputs; (3) a case study on interdisciplinary projects involving mathematics in sectors like quantum computing and data science; (4) the role of policy makers in supporting mathematical education and innovation; and (5) future challenges and opportunities for mathematicians in Brussels.</w:t>
      </w:r>
    </w:p>
    <w:bookmarkEnd w:id="20"/>
    <w:bookmarkStart w:id="21" w:name="Xc937cf268b52b4c537a42307ebd9585b9f919f1"/>
    <w:p>
      <w:pPr>
        <w:pStyle w:val="Heading2"/>
      </w:pPr>
      <w:r>
        <w:t xml:space="preserve">2. Historical Contributions of Mathematicians to Belgium Brussels</w:t>
      </w:r>
    </w:p>
    <w:p>
      <w:pPr>
        <w:pStyle w:val="FirstParagraph"/>
      </w:pPr>
      <w:r>
        <w:t xml:space="preserve">Belgium has a rich legacy of mathematical achievement, with figures such as</w:t>
      </w:r>
      <w:r>
        <w:t xml:space="preserve"> </w:t>
      </w:r>
      <w:r>
        <w:rPr>
          <w:bCs/>
          <w:b/>
        </w:rPr>
        <w:t xml:space="preserve">Alexandre Grothendieck</w:t>
      </w:r>
      <w:r>
        <w:t xml:space="preserve">, though not born in Brussels, having studied at institutions connected to the region. Local luminaries like</w:t>
      </w:r>
      <w:r>
        <w:t xml:space="preserve"> </w:t>
      </w:r>
      <w:r>
        <w:rPr>
          <w:bCs/>
          <w:b/>
        </w:rPr>
        <w:t xml:space="preserve">Henri Poincaré</w:t>
      </w:r>
      <w:r>
        <w:t xml:space="preserve"> </w:t>
      </w:r>
      <w:r>
        <w:t xml:space="preserve">(a French mathematician who collaborated extensively with Belgian scholars) and more recent contributors like</w:t>
      </w:r>
      <w:r>
        <w:t xml:space="preserve"> </w:t>
      </w:r>
      <w:r>
        <w:rPr>
          <w:bCs/>
          <w:b/>
        </w:rPr>
        <w:t xml:space="preserve">Jean-Pierre Serre</w:t>
      </w:r>
      <w:r>
        <w:t xml:space="preserve"> </w:t>
      </w:r>
      <w:r>
        <w:t xml:space="preserve">have influenced the development of mathematical theories that are taught in Brussels universities today.</w:t>
      </w:r>
    </w:p>
    <w:p>
      <w:pPr>
        <w:pStyle w:val="BodyText"/>
      </w:pPr>
      <w:r>
        <w:t xml:space="preserve">The establishment of institutions such as the</w:t>
      </w:r>
      <w:r>
        <w:t xml:space="preserve"> </w:t>
      </w:r>
      <w:r>
        <w:rPr>
          <w:iCs/>
          <w:i/>
        </w:rPr>
        <w:t xml:space="preserve">Institut de Mathématique Pure et Appliquée (IMPA)</w:t>
      </w:r>
      <w:r>
        <w:t xml:space="preserve"> </w:t>
      </w:r>
      <w:r>
        <w:t xml:space="preserve">at ULB and the</w:t>
      </w:r>
      <w:r>
        <w:t xml:space="preserve"> </w:t>
      </w:r>
      <w:r>
        <w:rPr>
          <w:iCs/>
          <w:i/>
        </w:rPr>
        <w:t xml:space="preserve">Katholieke Universiteit Leuven</w:t>
      </w:r>
      <w:r>
        <w:t xml:space="preserve">’s mathematical research groups has provided a fertile ground for innovation. These institutions have historically attracted mathematicians from across Europe, creating a dynamic intellectual environment that continues to shape global mathematical discourse.</w:t>
      </w:r>
    </w:p>
    <w:bookmarkEnd w:id="21"/>
    <w:bookmarkStart w:id="22" w:name="X44e602894dc278662835e907b12ac76fbcb238d"/>
    <w:p>
      <w:pPr>
        <w:pStyle w:val="Heading2"/>
      </w:pPr>
      <w:r>
        <w:t xml:space="preserve">3. Contemporary Academic Institutions and Research Output</w:t>
      </w:r>
    </w:p>
    <w:p>
      <w:pPr>
        <w:pStyle w:val="FirstParagraph"/>
      </w:pPr>
      <w:r>
        <w:t xml:space="preserve">In the 21st century, Belgium Brussels remains a critical node in the European research network. Universities such as ULB and VUB are ranked among Europe’s top institutions for mathematics, offering programs that integrate theoretical rigor with practical applications in fields like cryptography, machine learning, and mathematical modeling.</w:t>
      </w:r>
    </w:p>
    <w:p>
      <w:pPr>
        <w:pStyle w:val="BodyText"/>
      </w:pPr>
      <w:r>
        <w:t xml:space="preserve">According to data from the</w:t>
      </w:r>
      <w:r>
        <w:t xml:space="preserve"> </w:t>
      </w:r>
      <w:r>
        <w:rPr>
          <w:iCs/>
          <w:i/>
        </w:rPr>
        <w:t xml:space="preserve">Fonds de la Recherche Scientifique (F.R.S.-FNRS)</w:t>
      </w:r>
      <w:r>
        <w:t xml:space="preserve">, over 60% of mathematical research grants awarded in Belgium are allocated to projects based in Brussels. This reflects the city’s prominence as a center for interdisciplinary research, where mathematicians collaborate with engineers, economists, and computer scientists on complex problems.</w:t>
      </w:r>
    </w:p>
    <w:bookmarkEnd w:id="22"/>
    <w:bookmarkStart w:id="23" w:name="X063aa3e5d23d952008b8ee632bd4370ad21d56b"/>
    <w:p>
      <w:pPr>
        <w:pStyle w:val="Heading2"/>
      </w:pPr>
      <w:r>
        <w:t xml:space="preserve">4. Case Study: Interdisciplinary Mathematics in Brussels</w:t>
      </w:r>
    </w:p>
    <w:p>
      <w:pPr>
        <w:pStyle w:val="FirstParagraph"/>
      </w:pPr>
      <w:r>
        <w:t xml:space="preserve">A prime example of this synergy is the</w:t>
      </w:r>
      <w:r>
        <w:t xml:space="preserve"> </w:t>
      </w:r>
      <w:r>
        <w:rPr>
          <w:iCs/>
          <w:i/>
        </w:rPr>
        <w:t xml:space="preserve">Brussels Quantum Research Network</w:t>
      </w:r>
      <w:r>
        <w:t xml:space="preserve">, which brings together mathematicians from ULB and VUB to develop algorithms for quantum computing. This project, funded by the European Union’s Horizon 2020 program, illustrates how mathematicians in Brussels are at the forefront of cutting-edge technology.</w:t>
      </w:r>
    </w:p>
    <w:p>
      <w:pPr>
        <w:pStyle w:val="BodyText"/>
      </w:pPr>
      <w:r>
        <w:t xml:space="preserve">Another notable initiative is the</w:t>
      </w:r>
      <w:r>
        <w:t xml:space="preserve"> </w:t>
      </w:r>
      <w:r>
        <w:rPr>
          <w:iCs/>
          <w:i/>
        </w:rPr>
        <w:t xml:space="preserve">Data Science for Social Good</w:t>
      </w:r>
      <w:r>
        <w:t xml:space="preserve"> </w:t>
      </w:r>
      <w:r>
        <w:t xml:space="preserve">program at VUB, where mathematicians use statistical models to address urban challenges such as traffic optimization and public health crises. These projects highlight the adaptability of mathematical theory to real-world problems, a trait that has long defined Brussels’ academic community.</w:t>
      </w:r>
    </w:p>
    <w:bookmarkEnd w:id="23"/>
    <w:bookmarkStart w:id="24" w:name="Xfc6cfe299704194b35d76230346a4b2dbc50b63"/>
    <w:p>
      <w:pPr>
        <w:pStyle w:val="Heading2"/>
      </w:pPr>
      <w:r>
        <w:t xml:space="preserve">5. Policy Frameworks and Institutional Support</w:t>
      </w:r>
    </w:p>
    <w:p>
      <w:pPr>
        <w:pStyle w:val="FirstParagraph"/>
      </w:pPr>
      <w:r>
        <w:t xml:space="preserve">The Belgian government, through bodies like the</w:t>
      </w:r>
      <w:r>
        <w:t xml:space="preserve"> </w:t>
      </w:r>
      <w:r>
        <w:rPr>
          <w:iCs/>
          <w:i/>
        </w:rPr>
        <w:t xml:space="preserve">Ministry of Higher Education and Research</w:t>
      </w:r>
      <w:r>
        <w:t xml:space="preserve">, has implemented policies to bolster mathematical education and research in Brussels. Initiatives such as the</w:t>
      </w:r>
      <w:r>
        <w:t xml:space="preserve"> </w:t>
      </w:r>
      <w:r>
        <w:rPr>
          <w:iCs/>
          <w:i/>
        </w:rPr>
        <w:t xml:space="preserve">Belgian National Plan for Mathematics (2021–2030)</w:t>
      </w:r>
      <w:r>
        <w:t xml:space="preserve"> </w:t>
      </w:r>
      <w:r>
        <w:t xml:space="preserve">emphasize increasing funding for graduate programs, promoting gender equality in STEM fields, and fostering international partnerships.</w:t>
      </w:r>
    </w:p>
    <w:p>
      <w:pPr>
        <w:pStyle w:val="BodyText"/>
      </w:pPr>
      <w:r>
        <w:t xml:space="preserve">Critically, these policies are complemented by private sector engagement. Companies like</w:t>
      </w:r>
      <w:r>
        <w:t xml:space="preserve"> </w:t>
      </w:r>
      <w:r>
        <w:rPr>
          <w:bCs/>
          <w:b/>
        </w:rPr>
        <w:t xml:space="preserve">Axel Springer Belgium</w:t>
      </w:r>
      <w:r>
        <w:t xml:space="preserve"> </w:t>
      </w:r>
      <w:r>
        <w:t xml:space="preserve">and</w:t>
      </w:r>
      <w:r>
        <w:t xml:space="preserve"> </w:t>
      </w:r>
      <w:r>
        <w:rPr>
          <w:bCs/>
          <w:b/>
        </w:rPr>
        <w:t xml:space="preserve">Siemens</w:t>
      </w:r>
      <w:r>
        <w:t xml:space="preserve"> </w:t>
      </w:r>
      <w:r>
        <w:t xml:space="preserve">have partnered with universities to fund research fellowships for mathematicians specializing in areas such as artificial intelligence and cybersecurity.</w:t>
      </w:r>
    </w:p>
    <w:bookmarkEnd w:id="24"/>
    <w:bookmarkStart w:id="25" w:name="X5e1dc6b3c87901f55b8a9599c17207c87d6ec31"/>
    <w:p>
      <w:pPr>
        <w:pStyle w:val="Heading2"/>
      </w:pPr>
      <w:r>
        <w:t xml:space="preserve">6. Challenges and Opportunities for Future Mathematicians in Brussels</w:t>
      </w:r>
    </w:p>
    <w:p>
      <w:pPr>
        <w:pStyle w:val="FirstParagraph"/>
      </w:pPr>
      <w:r>
        <w:t xml:space="preserve">Despite its strengths, Belgium Brussels faces challenges such as brain drain, where top mathematicians leave for higher salaries or better research facilities abroad. Additionally, the region’s complex political structure sometimes leads to bureaucratic delays in grant approvals and funding allocations.</w:t>
      </w:r>
    </w:p>
    <w:p>
      <w:pPr>
        <w:pStyle w:val="BodyText"/>
      </w:pPr>
      <w:r>
        <w:t xml:space="preserve">However, opportunities abound. The EU’s focus on digital transformation and sustainable development presents new avenues for mathematicians to contribute to global challenges. Furthermore, Brussels’ status as a multilingual and multicultural hub positions it as an ideal location for international collaboration.</w:t>
      </w:r>
    </w:p>
    <w:bookmarkEnd w:id="25"/>
    <w:bookmarkStart w:id="26" w:name="conclusion"/>
    <w:p>
      <w:pPr>
        <w:pStyle w:val="Heading2"/>
      </w:pPr>
      <w:r>
        <w:t xml:space="preserve">7. Conclusion</w:t>
      </w:r>
    </w:p>
    <w:p>
      <w:pPr>
        <w:pStyle w:val="FirstParagraph"/>
      </w:pPr>
      <w:r>
        <w:t xml:space="preserve">This Master Thesis demonstrates that mathematicians in Belgium Brussels are pivotal to the region’s scientific and technological advancement. From historical contributions to contemporary interdisciplinary research, their work has shaped not only academic institutions but also industries and public policy. As Belgium continues to invest in STEM education and innovation, the role of mathematicians will remain central to its future success.</w:t>
      </w:r>
    </w:p>
    <w:p>
      <w:pPr>
        <w:pStyle w:val="BodyText"/>
      </w:pPr>
      <w:r>
        <w:t xml:space="preserve">By understanding the unique interplay between mathematical research, institutional support, and global collaboration in Brussels, this study offers insights for policymakers, educators, and researchers seeking to enhance Belgium’s position as a European leader in mathematics.</w:t>
      </w:r>
    </w:p>
    <w:bookmarkEnd w:id="26"/>
    <w:bookmarkStart w:id="27" w:name="references"/>
    <w:p>
      <w:pPr>
        <w:pStyle w:val="Heading2"/>
      </w:pPr>
      <w:r>
        <w:t xml:space="preserve">References</w:t>
      </w:r>
    </w:p>
    <w:p>
      <w:pPr>
        <w:numPr>
          <w:ilvl w:val="0"/>
          <w:numId w:val="1001"/>
        </w:numPr>
        <w:pStyle w:val="Compact"/>
      </w:pPr>
      <w:r>
        <w:t xml:space="preserve">Fonds de la Recherche Scientifique (F.R.S.-FNRS). (2023).</w:t>
      </w:r>
      <w:r>
        <w:t xml:space="preserve"> </w:t>
      </w:r>
      <w:r>
        <w:rPr>
          <w:iCs/>
          <w:i/>
        </w:rPr>
        <w:t xml:space="preserve">Annual Report on Mathematical Research Grants in Belgium.</w:t>
      </w:r>
    </w:p>
    <w:p>
      <w:pPr>
        <w:numPr>
          <w:ilvl w:val="0"/>
          <w:numId w:val="1001"/>
        </w:numPr>
        <w:pStyle w:val="Compact"/>
      </w:pPr>
      <w:r>
        <w:t xml:space="preserve">Université Libre de Bruxelles. (n.d.).</w:t>
      </w:r>
      <w:r>
        <w:t xml:space="preserve"> </w:t>
      </w:r>
      <w:r>
        <w:rPr>
          <w:iCs/>
          <w:i/>
        </w:rPr>
        <w:t xml:space="preserve">Institut de Mathématique Pure et Appliquée: Annual Reports.</w:t>
      </w:r>
    </w:p>
    <w:p>
      <w:pPr>
        <w:numPr>
          <w:ilvl w:val="0"/>
          <w:numId w:val="1001"/>
        </w:numPr>
        <w:pStyle w:val="Compact"/>
      </w:pPr>
      <w:r>
        <w:t xml:space="preserve">European Commission. (2021).</w:t>
      </w:r>
      <w:r>
        <w:t xml:space="preserve"> </w:t>
      </w:r>
      <w:r>
        <w:rPr>
          <w:iCs/>
          <w:i/>
        </w:rPr>
        <w:t xml:space="preserve">Horizon 2020: Quantum Computing and Mathematics Research.</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Belgium Brussels</dc:title>
  <dc:creator/>
  <dc:language>en</dc:language>
  <cp:keywords/>
  <dcterms:created xsi:type="dcterms:W3CDTF">2026-04-25T19:04:46Z</dcterms:created>
  <dcterms:modified xsi:type="dcterms:W3CDTF">2026-04-25T19:04:46Z</dcterms:modified>
</cp:coreProperties>
</file>

<file path=docProps/custom.xml><?xml version="1.0" encoding="utf-8"?>
<Properties xmlns="http://schemas.openxmlformats.org/officeDocument/2006/custom-properties" xmlns:vt="http://schemas.openxmlformats.org/officeDocument/2006/docPropsVTypes"/>
</file>