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9" w:name="Xfee10a4456ae669e159430bc40c6f2124c72bf9"/>
    <w:p>
      <w:pPr>
        <w:pStyle w:val="Heading1"/>
      </w:pPr>
      <w:r>
        <w:t xml:space="preserve">Master Thesis: The Role of a Mathematician in Germany, Munich</w:t>
      </w:r>
    </w:p>
    <w:bookmarkStart w:id="20" w:name="abstract"/>
    <w:p>
      <w:pPr>
        <w:pStyle w:val="Heading2"/>
      </w:pPr>
      <w:r>
        <w:t xml:space="preserve">Abstract</w:t>
      </w:r>
    </w:p>
    <w:p>
      <w:pPr>
        <w:pStyle w:val="FirstParagraph"/>
      </w:pPr>
      <w:r>
        <w:t xml:space="preserve">This Master Thesis explores the academic and cultural significance of mathematicians within the context of Germany, with a specific focus on Munich. The study examines how mathematical research and education in Munich have shaped both local and global scientific communities. By analyzing historical contributions, current research trends, and interdisciplinary collaborations, this thesis highlights the pivotal role of mathematicians in advancing knowledge while navigating the unique demands of German academic institutions. The work underscores the importance of fostering innovation in mathematics through institutional support, international cooperation, and policy frameworks that align with Germany’s commitment to excellence in STEM fields.</w:t>
      </w:r>
    </w:p>
    <w:bookmarkEnd w:id="20"/>
    <w:bookmarkStart w:id="21" w:name="introduction"/>
    <w:p>
      <w:pPr>
        <w:pStyle w:val="Heading2"/>
      </w:pPr>
      <w:r>
        <w:t xml:space="preserve">Introduction</w:t>
      </w:r>
    </w:p>
    <w:p>
      <w:pPr>
        <w:pStyle w:val="FirstParagraph"/>
      </w:pPr>
      <w:r>
        <w:t xml:space="preserve">Munich, as a hub of intellectual activity in Germany, has long been a center for mathematical research. Its proximity to renowned institutions such as the Ludwig Maximilian University of Munich (LMU) and the Technical University of Munich (TUM) positions it as a critical node in Europe’s academic network. This thesis investigates how mathematicians operating within this environment contribute to both theoretical advancements and applied solutions, while also reflecting on the broader implications for Germany’s scientific identity. The study is particularly relevant given Germany’s emphasis on STEM education and its role as a leader in European research initiatives.</w:t>
      </w:r>
    </w:p>
    <w:bookmarkEnd w:id="21"/>
    <w:bookmarkStart w:id="22" w:name="X843a53f464715c999e1a34c810e0d6960285c87"/>
    <w:p>
      <w:pPr>
        <w:pStyle w:val="Heading2"/>
      </w:pPr>
      <w:r>
        <w:t xml:space="preserve">Historical Context of Mathematics in Munich</w:t>
      </w:r>
    </w:p>
    <w:p>
      <w:pPr>
        <w:pStyle w:val="FirstParagraph"/>
      </w:pPr>
      <w:r>
        <w:t xml:space="preserve">Munich’s mathematical tradition dates back to the 19th century, with figures such as Carl von Staudt and Felix Klein laying foundational work in geometry and analysis. These pioneers established a legacy of rigorous scholarship that continues to influence contemporary research. The city’s academic institutions have since evolved into global centers for interdisciplinary collaboration, attracting mathematicians from diverse backgrounds. This historical continuity provides a fertile ground for exploring how modern mathematicians build upon past achievements while addressing emerging challenges in fields such as cryptography, quantum computing, and data science.</w:t>
      </w:r>
    </w:p>
    <w:bookmarkEnd w:id="22"/>
    <w:bookmarkStart w:id="23" w:name="X6c210056117dd0bceb3ac277cb7b6457309bd6c"/>
    <w:p>
      <w:pPr>
        <w:pStyle w:val="Heading2"/>
      </w:pPr>
      <w:r>
        <w:t xml:space="preserve">Key Contributions of Mathematicians in Munich</w:t>
      </w:r>
    </w:p>
    <w:p>
      <w:pPr>
        <w:pStyle w:val="FirstParagraph"/>
      </w:pPr>
      <w:r>
        <w:t xml:space="preserve">Mathematicians in Munich have made transformative contributions across multiple domains. For instance, research at TUM has advanced computational mathematics through applications in engineering and artificial intelligence. LMU’s Department of Mathematics, meanwhile, has produced groundbreaking work in pure mathematics, including algebraic topology and number theory. These contributions are not only academically significant but also align with Germany’s national priorities for innovation-driven economic growth. The thesis highlights case studies of individual mathematicians whose work exemplifies the synergy between theoretical exploration and practical impact.</w:t>
      </w:r>
    </w:p>
    <w:bookmarkEnd w:id="23"/>
    <w:bookmarkStart w:id="24" w:name="X73c99881f5f2a90ff63d12ad4255a2b82e49249"/>
    <w:p>
      <w:pPr>
        <w:pStyle w:val="Heading2"/>
      </w:pPr>
      <w:r>
        <w:t xml:space="preserve">Academic Environment and Institutional Support</w:t>
      </w:r>
    </w:p>
    <w:p>
      <w:pPr>
        <w:pStyle w:val="FirstParagraph"/>
      </w:pPr>
      <w:r>
        <w:t xml:space="preserve">The German academic system, particularly in Munich, offers a unique framework for mathematical research. Institutions here are characterized by strong funding mechanisms, collaborative networks with industry partners, and a commitment to open-access publishing. Mathematicians in Munich benefit from Germany’s dual focus on fundamental research and applied problem-solving. This thesis evaluates how these institutional structures enable mathematicians to pursue high-risk, high-reward projects while maintaining rigorous academic standards.</w:t>
      </w:r>
    </w:p>
    <w:bookmarkEnd w:id="24"/>
    <w:bookmarkStart w:id="25" w:name="Xf05786e56f116297c002a094a429ac8ba2693a7"/>
    <w:p>
      <w:pPr>
        <w:pStyle w:val="Heading2"/>
      </w:pPr>
      <w:r>
        <w:t xml:space="preserve">Challenges Faced by Mathematicians in Germany</w:t>
      </w:r>
    </w:p>
    <w:p>
      <w:pPr>
        <w:pStyle w:val="FirstParagraph"/>
      </w:pPr>
      <w:r>
        <w:t xml:space="preserve">Despite its strengths, the German academic landscape presents challenges for mathematicians. Issues such as bureaucratic hurdles, limited postdoctoral positions, and competition for funding are increasingly pertinent. Additionally, the integration of international researchers into German institutions requires navigating language barriers and cultural differences. This thesis critically analyzes these challenges and proposes strategies for enhancing inclusivity and sustainability in mathematical research communities.</w:t>
      </w:r>
    </w:p>
    <w:bookmarkEnd w:id="25"/>
    <w:bookmarkStart w:id="26" w:name="interdisciplinary-collaboration"/>
    <w:p>
      <w:pPr>
        <w:pStyle w:val="Heading2"/>
      </w:pPr>
      <w:r>
        <w:t xml:space="preserve">Interdisciplinary Collaboration</w:t>
      </w:r>
    </w:p>
    <w:p>
      <w:pPr>
        <w:pStyle w:val="FirstParagraph"/>
      </w:pPr>
      <w:r>
        <w:t xml:space="preserve">Munich’s mathematicians are at the forefront of interdisciplinary initiatives, partnering with physicists, computer scientists, and engineers to tackle complex problems. For example, collaborative projects in quantum information theory have positioned Munich as a leader in this emerging field. The thesis emphasizes how such collaborations reflect Germany’s broader approach to fostering innovation through cross-sector partnerships.</w:t>
      </w:r>
    </w:p>
    <w:bookmarkEnd w:id="26"/>
    <w:bookmarkStart w:id="27" w:name="policy-and-future-directions"/>
    <w:p>
      <w:pPr>
        <w:pStyle w:val="Heading2"/>
      </w:pPr>
      <w:r>
        <w:t xml:space="preserve">Policy and Future Directions</w:t>
      </w:r>
    </w:p>
    <w:p>
      <w:pPr>
        <w:pStyle w:val="FirstParagraph"/>
      </w:pPr>
      <w:r>
        <w:t xml:space="preserve">The German government’s investment in STEM education, including initiatives like the Excellence Strategy, has bolstered Munich’s mathematical ecosystem. However, future success will depend on addressing systemic issues such as work-life balance for researchers and expanding opportunities for early-career mathematicians. This thesis concludes by advocating for policies that prioritize long-term investment in mathematics education and research infrastructure.</w:t>
      </w:r>
    </w:p>
    <w:bookmarkEnd w:id="27"/>
    <w:bookmarkStart w:id="28" w:name="conclusion"/>
    <w:p>
      <w:pPr>
        <w:pStyle w:val="Heading2"/>
      </w:pPr>
      <w:r>
        <w:t xml:space="preserve">Conclusion</w:t>
      </w:r>
    </w:p>
    <w:p>
      <w:pPr>
        <w:pStyle w:val="FirstParagraph"/>
      </w:pPr>
      <w:r>
        <w:t xml:space="preserve">In conclusion, the role of a mathematician in Germany, particularly within Munich, is both dynamic and multifaceted. By examining their contributions through historical, institutional, and policy lenses, this Master Thesis underscores the importance of supporting mathematical research as a cornerstone of Germany’s scientific and economic development. The insights gained from this study are not only relevant to Munich but also provide a blueprint for fostering mathematical excellence in other global academic centers.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Mathematician in Germany Munich</dc:title>
  <dc:creator/>
  <dc:language>en</dc:language>
  <cp:keywords/>
  <dcterms:created xsi:type="dcterms:W3CDTF">2026-04-24T01:28:18Z</dcterms:created>
  <dcterms:modified xsi:type="dcterms:W3CDTF">2026-04-24T01:28:18Z</dcterms:modified>
</cp:coreProperties>
</file>

<file path=docProps/custom.xml><?xml version="1.0" encoding="utf-8"?>
<Properties xmlns="http://schemas.openxmlformats.org/officeDocument/2006/custom-properties" xmlns:vt="http://schemas.openxmlformats.org/officeDocument/2006/docPropsVTypes"/>
</file>