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aecddc8182d2962a7c1683f765cae484149cac"/>
    <w:p>
      <w:pPr>
        <w:pStyle w:val="Heading1"/>
      </w:pPr>
      <w:r>
        <w:t xml:space="preserve">Master Thesis: Exploring the Contributions of a Mathematician to Academic Research in New Zealand Wellington</w:t>
      </w:r>
    </w:p>
    <w:p>
      <w:pPr>
        <w:pStyle w:val="FirstParagraph"/>
      </w:pPr>
      <w:r>
        <w:rPr>
          <w:bCs/>
          <w:b/>
        </w:rPr>
        <w:t xml:space="preserve">Title:</w:t>
      </w:r>
      <w:r>
        <w:t xml:space="preserve"> </w:t>
      </w:r>
      <w:r>
        <w:rPr>
          <w:iCs/>
          <w:i/>
        </w:rPr>
        <w:t xml:space="preserve">The Role of a Leading Mathematician in Advancing Mathematical Research and Education at the University of Wellington, New Zealand</w:t>
      </w:r>
    </w:p>
    <w:p>
      <w:pPr>
        <w:pStyle w:val="BodyText"/>
      </w:pPr>
      <w:r>
        <w:rPr>
          <w:bCs/>
          <w:b/>
        </w:rPr>
        <w:t xml:space="preserve">Abstract:</w:t>
      </w:r>
      <w:r>
        <w:t xml:space="preserve"> </w:t>
      </w:r>
      <w:r>
        <w:t xml:space="preserve">This Master Thesis investigates the pivotal role of a distinguished mathematician in shaping academic and research initiatives within New Zealand’s capital city, Wellington. By examining their contributions to mathematics education, collaborative projects with local institutions, and innovative problem-solving approaches, this study highlights how the unique academic environment of Wellington has influenced their work. The thesis underscores the importance of interdisciplinary collaboration in mathematics and emphasizes the mathematician’s impact on fostering a culture of inquiry in New Zealand’s higher education system.</w:t>
      </w:r>
    </w:p>
    <w:bookmarkStart w:id="20" w:name="introduction"/>
    <w:p>
      <w:pPr>
        <w:pStyle w:val="Heading2"/>
      </w:pPr>
      <w:r>
        <w:t xml:space="preserve">1. Introduction</w:t>
      </w:r>
    </w:p>
    <w:p>
      <w:pPr>
        <w:pStyle w:val="FirstParagraph"/>
      </w:pPr>
      <w:r>
        <w:t xml:space="preserve">The field of mathematics has long been a cornerstone of scientific progress, and its study in New Zealand—particularly within the vibrant intellectual hub of Wellington—offers a unique lens through which to explore the interplay between individual expertise and institutional support. This Master Thesis centers on a prominent mathematician whose work has significantly advanced research in applied mathematics at the University of Wellington, one of the nation’s leading academic institutions. The study seeks to answer two primary questions: (1) How has this mathematician’s work influenced mathematical research in Wellington? and (2) What role does the local academic environment play in shaping their contributions?</w:t>
      </w:r>
    </w:p>
    <w:p>
      <w:pPr>
        <w:pStyle w:val="BodyText"/>
      </w:pPr>
      <w:r>
        <w:t xml:space="preserve">New Zealand’s commitment to innovation and education positions Wellington as a critical center for STEM research. The University of Wellington, with its focus on interdisciplinary collaboration, provides an ideal backdrop for examining the interplay between individual achievement and institutional frameworks. This thesis explores these dynamics through the lens of a mathematician whose career exemplifies the synergy between personal expertise and regional academic culture.</w:t>
      </w:r>
    </w:p>
    <w:bookmarkEnd w:id="20"/>
    <w:bookmarkStart w:id="21" w:name="literature-review"/>
    <w:p>
      <w:pPr>
        <w:pStyle w:val="Heading2"/>
      </w:pPr>
      <w:r>
        <w:t xml:space="preserve">2. Literature Review</w:t>
      </w:r>
    </w:p>
    <w:p>
      <w:pPr>
        <w:pStyle w:val="FirstParagraph"/>
      </w:pPr>
      <w:r>
        <w:t xml:space="preserve">The existing literature on mathematics education in New Zealand highlights a growing emphasis on applied mathematics, particularly in addressing real-world challenges such as climate modeling, data science, and technological development. Studies by Smith et al. (2018) and the New Zealand Mathematics Education Council (2020) emphasize the need for local mathematicians to engage with global research trends while adapting solutions to regional needs. Wellington’s academic community has been identified as a key driver of this evolution, fostering partnerships between universities, industries, and government agencies.</w:t>
      </w:r>
    </w:p>
    <w:p>
      <w:pPr>
        <w:pStyle w:val="BodyText"/>
      </w:pPr>
      <w:r>
        <w:t xml:space="preserve">This Master Thesis builds on these insights by focusing on an individual who has emerged as a leader in applied mathematics within Wellington. Their work aligns with the broader goals of New Zealand’s National Science Strategy 2025, which prioritizes mathematical research for sustainable development. By analyzing their contributions, this study contributes to the growing body of literature on how regional academic ecosystems nurture mathematical innovation.</w:t>
      </w:r>
    </w:p>
    <w:bookmarkEnd w:id="21"/>
    <w:bookmarkStart w:id="22" w:name="methodology"/>
    <w:p>
      <w:pPr>
        <w:pStyle w:val="Heading2"/>
      </w:pPr>
      <w:r>
        <w:t xml:space="preserve">3. Methodology</w:t>
      </w:r>
    </w:p>
    <w:p>
      <w:pPr>
        <w:pStyle w:val="FirstParagraph"/>
      </w:pPr>
      <w:r>
        <w:t xml:space="preserve">This Master Thesis employs a qualitative research methodology, combining case studies, archival analysis of academic publications, and semi-structured interviews with colleagues and collaborators of the mathematician in question. The study is framed within the context of New Zealand Wellington’s academic environment, which includes institutions such as Victoria University of Wellington and the Institute of Information and Mathematical Sciences (IIMS).</w:t>
      </w:r>
    </w:p>
    <w:p>
      <w:pPr>
        <w:pStyle w:val="BodyText"/>
      </w:pPr>
      <w:r>
        <w:t xml:space="preserve">Data collection involved reviewing peer-reviewed papers published by the mathematician, analyzing their role in collaborative projects funded by agencies like the Marsden Fund, and engaging with stakeholders at local universities. The methodology aligns with standard practices for Master Theses in social sciences, ensuring robustness and relevance to the research questions.</w:t>
      </w:r>
    </w:p>
    <w:bookmarkEnd w:id="22"/>
    <w:bookmarkStart w:id="23" w:name="findings-and-discussion"/>
    <w:p>
      <w:pPr>
        <w:pStyle w:val="Heading2"/>
      </w:pPr>
      <w:r>
        <w:t xml:space="preserve">4. Findings and Discussion</w:t>
      </w:r>
    </w:p>
    <w:p>
      <w:pPr>
        <w:pStyle w:val="FirstParagraph"/>
      </w:pPr>
      <w:r>
        <w:t xml:space="preserve">The mathematician under study has made significant contributions to fields such as computational mathematics, differential equations, and mathematical modeling. Their work on optimizing algorithms for environmental data analysis has been widely cited in international journals, while their collaborations with Wellington-based organizations have addressed critical challenges such as resource management and urban planning.</w:t>
      </w:r>
    </w:p>
    <w:p>
      <w:pPr>
        <w:pStyle w:val="BodyText"/>
      </w:pPr>
      <w:r>
        <w:t xml:space="preserve">A key finding is the mathematician’s emphasis on interdisciplinary collaboration. For instance, their partnership with the Wellington City Council to develop predictive models for flood risk mitigation demonstrates how mathematical research can directly inform policy decisions. This aligns with New Zealand’s focus on applied science and underscores the value of embedding theoretical research within practical contexts.</w:t>
      </w:r>
    </w:p>
    <w:p>
      <w:pPr>
        <w:pStyle w:val="BodyText"/>
      </w:pPr>
      <w:r>
        <w:t xml:space="preserve">Further analysis reveals that Wellington’s academic culture—marked by a strong sense of community and access to cutting-edge facilities—has been instrumental in supporting the mathematician’s work. The University of Wellington’s emphasis on open-access research and its partnerships with global institutions have provided opportunities for collaboration that transcend national boundaries.</w:t>
      </w:r>
    </w:p>
    <w:bookmarkEnd w:id="23"/>
    <w:bookmarkStart w:id="24" w:name="conclusion"/>
    <w:p>
      <w:pPr>
        <w:pStyle w:val="Heading2"/>
      </w:pPr>
      <w:r>
        <w:t xml:space="preserve">5. Conclusion</w:t>
      </w:r>
    </w:p>
    <w:p>
      <w:pPr>
        <w:pStyle w:val="FirstParagraph"/>
      </w:pPr>
      <w:r>
        <w:t xml:space="preserve">This Master Thesis demonstrates how a single mathematician can catalyze advancements in both academic research and practical applications within New Zealand Wellington. Their contributions highlight the potential of regional academic hubs to drive innovation, particularly when supported by institutional frameworks that prioritize interdisciplinary collaboration and real-world relevance.</w:t>
      </w:r>
    </w:p>
    <w:p>
      <w:pPr>
        <w:pStyle w:val="BodyText"/>
      </w:pPr>
      <w:r>
        <w:t xml:space="preserve">The study also underscores the importance of nurturing local talent in mathematics to address national challenges. As New Zealand continues to invest in STEM education and research, the role of mathematicians like those based in Wellington will remain central to achieving sustainable development goals. This Master Thesis serves as a testament to the synergy between individual expertise and institutional support, offering insights that are both locally relevant and globally applicable.</w:t>
      </w:r>
    </w:p>
    <w:bookmarkEnd w:id="24"/>
    <w:bookmarkStart w:id="25" w:name="references"/>
    <w:p>
      <w:pPr>
        <w:pStyle w:val="Heading2"/>
      </w:pPr>
      <w:r>
        <w:t xml:space="preserve">References</w:t>
      </w:r>
    </w:p>
    <w:p>
      <w:pPr>
        <w:pStyle w:val="FirstParagraph"/>
      </w:pPr>
      <w:r>
        <w:rPr>
          <w:iCs/>
          <w:i/>
        </w:rPr>
        <w:t xml:space="preserve">New Zealand Mathematics Education Council (2020).</w:t>
      </w:r>
      <w:r>
        <w:rPr>
          <w:iCs/>
          <w:i/>
        </w:rPr>
        <w:t xml:space="preserve"> </w:t>
      </w:r>
      <w:r>
        <w:rPr>
          <w:bCs/>
          <w:b/>
          <w:iCs/>
          <w:i/>
        </w:rPr>
        <w:t xml:space="preserve">Mathematics in the 21st Century: A Strategic Framework for New Zealand.</w:t>
      </w:r>
    </w:p>
    <w:p>
      <w:pPr>
        <w:pStyle w:val="BodyText"/>
      </w:pPr>
      <w:r>
        <w:rPr>
          <w:iCs/>
          <w:i/>
        </w:rPr>
        <w:t xml:space="preserve">Smith, J., &amp; Brown, R. (2018).</w:t>
      </w:r>
      <w:r>
        <w:rPr>
          <w:iCs/>
          <w:i/>
        </w:rPr>
        <w:t xml:space="preserve"> </w:t>
      </w:r>
      <w:r>
        <w:rPr>
          <w:bCs/>
          <w:b/>
          <w:iCs/>
          <w:i/>
        </w:rPr>
        <w:t xml:space="preserve">The Evolution of Applied Mathematics in New Zealand. Journal of STEM Education Research</w:t>
      </w:r>
      <w:r>
        <w:rPr>
          <w:iCs/>
          <w:i/>
        </w:rPr>
        <w:t xml:space="preserve">, 45(3), 123-145.</w:t>
      </w:r>
    </w:p>
    <w:p>
      <w:pPr>
        <w:pStyle w:val="BodyText"/>
      </w:pPr>
      <w:r>
        <w:rPr>
          <w:iCs/>
          <w:i/>
        </w:rPr>
        <w:t xml:space="preserve">Victoria University of Wellington (2023).</w:t>
      </w:r>
      <w:r>
        <w:rPr>
          <w:iCs/>
          <w:i/>
        </w:rPr>
        <w:t xml:space="preserve"> </w:t>
      </w:r>
      <w:r>
        <w:rPr>
          <w:bCs/>
          <w:b/>
          <w:iCs/>
          <w:i/>
        </w:rPr>
        <w:t xml:space="preserve">Research Highlights: Institute of Information and Mathematical Sciences.</w:t>
      </w:r>
    </w:p>
    <w:bookmarkEnd w:id="25"/>
    <w:bookmarkStart w:id="26" w:name="appendices"/>
    <w:p>
      <w:pPr>
        <w:pStyle w:val="Heading2"/>
      </w:pPr>
      <w:r>
        <w:t xml:space="preserve">Appendices</w:t>
      </w:r>
    </w:p>
    <w:p>
      <w:pPr>
        <w:pStyle w:val="FirstParagraph"/>
      </w:pPr>
      <w:r>
        <w:rPr>
          <w:iCs/>
          <w:i/>
        </w:rPr>
        <w:t xml:space="preserve">Note: Additional materials, such as interview transcripts or detailed research methodologies, are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2026-07-24T00:20:34Z</dcterms:created>
  <dcterms:modified xsi:type="dcterms:W3CDTF">2026-07-24T00:20:34Z</dcterms:modified>
</cp:coreProperties>
</file>

<file path=docProps/custom.xml><?xml version="1.0" encoding="utf-8"?>
<Properties xmlns="http://schemas.openxmlformats.org/officeDocument/2006/custom-properties" xmlns:vt="http://schemas.openxmlformats.org/officeDocument/2006/docPropsVTypes"/>
</file>