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bbfeaf15f64369b0b7f98369caddcf68ce46955"/>
    <w:p>
      <w:pPr>
        <w:pStyle w:val="Heading1"/>
      </w:pPr>
      <w:r>
        <w:t xml:space="preserve">Master Thesis: The Role of Mathematicians in the Context of Saudi Arabia Riyadh</w:t>
      </w:r>
    </w:p>
    <w:bookmarkStart w:id="20" w:name="abstract"/>
    <w:p>
      <w:pPr>
        <w:pStyle w:val="Heading2"/>
      </w:pPr>
      <w:r>
        <w:t xml:space="preserve">Abstract</w:t>
      </w:r>
    </w:p>
    <w:p>
      <w:pPr>
        <w:pStyle w:val="FirstParagraph"/>
      </w:pPr>
      <w:r>
        <w:t xml:space="preserve">This Master Thesis explores the significance of mathematicians in shaping the academic and research landscape of Saudi Arabia, with a specific focus on Riyadh, the capital city. As a hub for higher education and innovation, Riyadh has emerged as a critical center for mathematical research under initiatives such as Vision 2030. The thesis examines how mathematicians contribute to national development goals through advanced problem-solving techniques, interdisciplinary collaborations, and the promotion of scientific literacy. By analyzing case studies of mathematicians in Riyadh’s leading institutions—such as King Saud University (KSU), King Abdulaziz University (KAU), and the Saudi Basic Industries Corporation (SABIC)—this study highlights the challenges and opportunities faced by mathematicians in a rapidly evolving socio-economic environment. The research underscores the need for tailored policies to support mathematical education, research infrastructure, and international collaboration in Riyadh.</w:t>
      </w:r>
    </w:p>
    <w:bookmarkEnd w:id="20"/>
    <w:bookmarkStart w:id="21" w:name="introduction"/>
    <w:p>
      <w:pPr>
        <w:pStyle w:val="Heading2"/>
      </w:pPr>
      <w:r>
        <w:t xml:space="preserve">Introduction</w:t>
      </w:r>
    </w:p>
    <w:p>
      <w:pPr>
        <w:pStyle w:val="FirstParagraph"/>
      </w:pPr>
      <w:r>
        <w:t xml:space="preserve">Saudi Arabia’s commitment to diversifying its economy through Vision 2030 has positioned mathematics as a cornerstone of national progress. As the capital city, Riyadh plays a pivotal role in this transformation, housing world-class universities and research centers. This Master Thesis investigates how mathematicians in Riyadh are leveraging their expertise to address real-world challenges, from optimizing energy systems to advancing artificial intelligence (AI). The study is motivated by the growing demand for data-driven decision-making across sectors such as healthcare, finance, and urban planning. By focusing on the contributions of mathematicians in Riyadh, this thesis aims to provide a comprehensive understanding of their impact on local and global scientific communities.</w:t>
      </w:r>
    </w:p>
    <w:bookmarkEnd w:id="21"/>
    <w:bookmarkStart w:id="23" w:name="historical_context"/>
    <w:bookmarkStart w:id="22" w:name="X6f9e9b707e59a7dea5fda6e6569ceea4c43116d"/>
    <w:p>
      <w:pPr>
        <w:pStyle w:val="Heading2"/>
      </w:pPr>
      <w:r>
        <w:t xml:space="preserve">Historical Context of Mathematics in Saudi Arabia</w:t>
      </w:r>
    </w:p>
    <w:p>
      <w:pPr>
        <w:pStyle w:val="FirstParagraph"/>
      </w:pPr>
      <w:r>
        <w:t xml:space="preserve">Mathematics has long been an integral part of Saudi Arabia’s educational system. However, the establishment of institutions like the King Abdulaziz University (1967) and King Saud University (1957) marked a turning point in formalizing mathematical research. In Riyadh, these institutions have nurtured generations of mathematicians who have contributed to both theoretical and applied fields. For example, the Department of Mathematics at KSU has produced notable researchers in algebraic geometry and computational mathematics. The thesis highlights how these historical developments laid the groundwork for Riyadh’s current status as a center for mathematical innovation.</w:t>
      </w:r>
    </w:p>
    <w:bookmarkEnd w:id="22"/>
    <w:bookmarkEnd w:id="23"/>
    <w:bookmarkStart w:id="25" w:name="contributions_of_mathematicians"/>
    <w:bookmarkStart w:id="24" w:name="Xbc80a36cb8f4fa0e89003f8f283804320d27144"/>
    <w:p>
      <w:pPr>
        <w:pStyle w:val="Heading2"/>
      </w:pPr>
      <w:r>
        <w:t xml:space="preserve">Contributions of Mathematicians in Riyadh</w:t>
      </w:r>
    </w:p>
    <w:p>
      <w:pPr>
        <w:pStyle w:val="FirstParagraph"/>
      </w:pPr>
      <w:r>
        <w:t xml:space="preserve">Mathematicians in Riyadh are at the forefront of solving complex problems through interdisciplinary research. Key contributions include:</w:t>
      </w:r>
    </w:p>
    <w:p>
      <w:pPr>
        <w:numPr>
          <w:ilvl w:val="0"/>
          <w:numId w:val="1001"/>
        </w:numPr>
        <w:pStyle w:val="Compact"/>
      </w:pPr>
      <w:r>
        <w:rPr>
          <w:bCs/>
          <w:b/>
        </w:rPr>
        <w:t xml:space="preserve">Energy Optimization:</w:t>
      </w:r>
      <w:r>
        <w:t xml:space="preserve"> </w:t>
      </w:r>
      <w:r>
        <w:t xml:space="preserve">Mathematicians at SABIC and the National Center for Energy and Water have developed algorithms to enhance oil and water resource management.</w:t>
      </w:r>
    </w:p>
    <w:p>
      <w:pPr>
        <w:numPr>
          <w:ilvl w:val="0"/>
          <w:numId w:val="1001"/>
        </w:numPr>
        <w:pStyle w:val="Compact"/>
      </w:pPr>
      <w:r>
        <w:rPr>
          <w:bCs/>
          <w:b/>
        </w:rPr>
        <w:t xml:space="preserve">Educational Reform:</w:t>
      </w:r>
      <w:r>
        <w:t xml:space="preserve"> </w:t>
      </w:r>
      <w:r>
        <w:t xml:space="preserve">Researchers at KAU have pioneered initiatives to integrate technology into mathematics education, aligning with Saudi Arabia’s goal of improving STEM literacy.</w:t>
      </w:r>
    </w:p>
    <w:p>
      <w:pPr>
        <w:numPr>
          <w:ilvl w:val="0"/>
          <w:numId w:val="1001"/>
        </w:numPr>
        <w:pStyle w:val="Compact"/>
      </w:pPr>
      <w:r>
        <w:rPr>
          <w:bCs/>
          <w:b/>
        </w:rPr>
        <w:t xml:space="preserve">Artificial Intelligence:</w:t>
      </w:r>
      <w:r>
        <w:t xml:space="preserve"> </w:t>
      </w:r>
      <w:r>
        <w:t xml:space="preserve">Collaboration between Riyadh-based universities and tech firms has led to breakthroughs in machine learning algorithms for healthcare diagnostics.</w:t>
      </w:r>
    </w:p>
    <w:p>
      <w:pPr>
        <w:pStyle w:val="FirstParagraph"/>
      </w:pPr>
      <w:r>
        <w:t xml:space="preserve">The thesis emphasizes how these contributions reflect the dual role of mathematicians as both educators and innovators in Riyadh’s scientific ecosystem.</w:t>
      </w:r>
    </w:p>
    <w:bookmarkEnd w:id="24"/>
    <w:bookmarkEnd w:id="25"/>
    <w:bookmarkStart w:id="27" w:name="challenges_and_opportunities"/>
    <w:bookmarkStart w:id="26" w:name="Xc3ea0d52e80f62ea3b15a3704d9b67ddddf297e"/>
    <w:p>
      <w:pPr>
        <w:pStyle w:val="Heading2"/>
      </w:pPr>
      <w:r>
        <w:t xml:space="preserve">Challenges and Opportunities for Mathematicians in Riyadh</w:t>
      </w:r>
    </w:p>
    <w:p>
      <w:pPr>
        <w:pStyle w:val="FirstParagraph"/>
      </w:pPr>
      <w:r>
        <w:t xml:space="preserve">Despite their achievements, mathematicians in Riyadh face challenges such as limited funding for pure research, brain drain due to global opportunities, and the need for greater public engagement with mathematics. However, Vision 2030 has created opportunities through investments in infrastructure like the NEOM project and the establishment of research parks like King Abdullah Economic City (KAEC). The thesis recommends fostering partnerships between universities and industries, expanding international exchange programs, and promoting mathematics in secondary education to ensure a steady pipeline of talent.</w:t>
      </w:r>
    </w:p>
    <w:bookmarkEnd w:id="26"/>
    <w:bookmarkEnd w:id="27"/>
    <w:bookmarkStart w:id="28" w:name="conclusion"/>
    <w:p>
      <w:pPr>
        <w:pStyle w:val="Heading2"/>
      </w:pPr>
      <w:r>
        <w:t xml:space="preserve">Conclusion</w:t>
      </w:r>
    </w:p>
    <w:p>
      <w:pPr>
        <w:pStyle w:val="FirstParagraph"/>
      </w:pPr>
      <w:r>
        <w:t xml:space="preserve">In conclusion, mathematicians in Riyadh are instrumental in driving Saudi Arabia’s transition into a knowledge-based economy. This Master Thesis underscores their vital role in advancing research, education, and innovation across diverse sectors. By addressing existing challenges and capitalizing on emerging opportunities, Riyadh can solidify its position as a global leader in mathematical sciences. The findings of this study provide actionable insights for policymakers, educators, and researchers committed to fostering a thriving mathematical community in Saudi Arabia.</w:t>
      </w:r>
    </w:p>
    <w:bookmarkEnd w:id="28"/>
    <w:bookmarkStart w:id="29" w:name="references"/>
    <w:p>
      <w:pPr>
        <w:pStyle w:val="Heading2"/>
      </w:pPr>
      <w:r>
        <w:t xml:space="preserve">References</w:t>
      </w:r>
    </w:p>
    <w:p>
      <w:pPr>
        <w:pStyle w:val="FirstParagraph"/>
      </w:pPr>
      <w:r>
        <w:rPr>
          <w:iCs/>
          <w:i/>
        </w:rPr>
        <w:t xml:space="preserve">Vision 2030: The Saudi Vision 2030 Report.</w:t>
      </w:r>
      <w:r>
        <w:t xml:space="preserve"> </w:t>
      </w:r>
      <w:r>
        <w:t xml:space="preserve">(Ministry of Economy and Planning, Riyadh, 2016).</w:t>
      </w:r>
      <w:r>
        <w:br/>
      </w:r>
      <w:r>
        <w:t xml:space="preserve">Al-Harbi, M. (2019). "Mathematical Research in Saudi Arabia: Progress and Prospects."</w:t>
      </w:r>
      <w:r>
        <w:t xml:space="preserve"> </w:t>
      </w:r>
      <w:r>
        <w:rPr>
          <w:iCs/>
          <w:i/>
        </w:rPr>
        <w:t xml:space="preserve">Journal of Mathematical Sciences in the Middle East</w:t>
      </w:r>
      <w:r>
        <w:t xml:space="preserve">, 5(3), 45–67.</w:t>
      </w:r>
      <w:r>
        <w:br/>
      </w:r>
      <w:r>
        <w:t xml:space="preserve">King Saud University. (2023).</w:t>
      </w:r>
      <w:r>
        <w:t xml:space="preserve"> </w:t>
      </w:r>
      <w:r>
        <w:rPr>
          <w:iCs/>
          <w:i/>
        </w:rPr>
        <w:t xml:space="preserve">Department of Mathematics Annual Report.</w:t>
      </w:r>
      <w:r>
        <w:t xml:space="preserve"> </w:t>
      </w:r>
      <w:r>
        <w:t xml:space="preserve">Retrieved from https://www.ksu.edu.sa/math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Saudi Arabia Riyadh</dc:title>
  <dc:creator/>
  <dc:language>en</dc:language>
  <cp:keywords/>
  <dcterms:created xsi:type="dcterms:W3CDTF">2026-04-28T00:27:50Z</dcterms:created>
  <dcterms:modified xsi:type="dcterms:W3CDTF">2026-04-28T00:27:50Z</dcterms:modified>
</cp:coreProperties>
</file>

<file path=docProps/custom.xml><?xml version="1.0" encoding="utf-8"?>
<Properties xmlns="http://schemas.openxmlformats.org/officeDocument/2006/custom-properties" xmlns:vt="http://schemas.openxmlformats.org/officeDocument/2006/docPropsVTypes"/>
</file>