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fe508bf26eaa8fb3e645d0203fb36bf0ad6bf2f"/>
    <w:p>
      <w:pPr>
        <w:pStyle w:val="Heading1"/>
      </w:pPr>
      <w:r>
        <w:t xml:space="preserve">Master Thesis: The Role and Contributions of a Mathematician in the Context of Turkey Ankara</w:t>
      </w:r>
    </w:p>
    <w:bookmarkStart w:id="20" w:name="abstract"/>
    <w:p>
      <w:pPr>
        <w:pStyle w:val="Heading2"/>
      </w:pPr>
      <w:r>
        <w:rPr>
          <w:bCs/>
          <w:b/>
        </w:rPr>
        <w:t xml:space="preserve">Abstract</w:t>
      </w:r>
    </w:p>
    <w:p>
      <w:pPr>
        <w:pStyle w:val="FirstParagraph"/>
      </w:pPr>
      <w:r>
        <w:t xml:space="preserve">This Master Thesis explores the historical, academic, and contemporary contributions of a mathematician whose work has significantly influenced the mathematical community in Turkey, particularly in Ankara. Focusing on the interplay between individual scholarly efforts and institutional frameworks, this study analyzes how a prominent mathematician's research in [specific field: e.g., algebraic geometry or number theory] has shaped both theoretical advancements and practical applications within Turkey’s academic landscape. The thesis emphasizes the unique role of Ankara as a hub for mathematical innovation, highlighting its universities, research centers, and cultural context in nurturing mathematical excellence. By examining archival materials, published works, and institutional records, this paper argues that the mathematician under study not only advanced their field but also contributed to the broader scientific infrastructure of Turkey Ankara.</w:t>
      </w:r>
    </w:p>
    <w:bookmarkEnd w:id="20"/>
    <w:bookmarkStart w:id="21" w:name="introduction"/>
    <w:p>
      <w:pPr>
        <w:pStyle w:val="Heading2"/>
      </w:pPr>
      <w:r>
        <w:rPr>
          <w:bCs/>
          <w:b/>
        </w:rPr>
        <w:t xml:space="preserve">Introduction</w:t>
      </w:r>
    </w:p>
    <w:p>
      <w:pPr>
        <w:pStyle w:val="FirstParagraph"/>
      </w:pPr>
      <w:r>
        <w:t xml:space="preserve">Ankara, as the capital of Turkey and a major academic center, has long been a focal point for scientific and mathematical development. Its universities—such as Ankara University, Bilkent University, and Hacettepe University—have played pivotal roles in cultivating mathematical talent and fostering research. This Master Thesis centers on the life and work of [Mathematician’s Name], a scholar whose contributions to mathematics have left an indelible mark on Turkey’s academic community. The study seeks to contextualize their achievements within the broader socio-political and intellectual environment of Ankara, while also addressing how their work aligns with global mathematical trends.</w:t>
      </w:r>
    </w:p>
    <w:p>
      <w:pPr>
        <w:pStyle w:val="BodyText"/>
      </w:pPr>
      <w:r>
        <w:t xml:space="preserve">The significance of this research lies in its dual focus: (1) analyzing the mathematician’s individual contributions to a specific field, such as [specific area: e.g., differential equations or topology], and (2) assessing the institutional and cultural factors that enabled their success in Ankara. By doing so, this thesis aims to provide insights into how mathematical innovation thrives in Turkey’s capital city.</w:t>
      </w:r>
    </w:p>
    <w:bookmarkEnd w:id="21"/>
    <w:bookmarkStart w:id="22" w:name="literature-review"/>
    <w:p>
      <w:pPr>
        <w:pStyle w:val="Heading2"/>
      </w:pPr>
      <w:r>
        <w:rPr>
          <w:bCs/>
          <w:b/>
        </w:rPr>
        <w:t xml:space="preserve">Literature Review</w:t>
      </w:r>
    </w:p>
    <w:p>
      <w:pPr>
        <w:pStyle w:val="FirstParagraph"/>
      </w:pPr>
      <w:r>
        <w:t xml:space="preserve">The study of mathematicians’ contributions in Turkey has often centered on their roles in national education reform or their influence on international collaborations. However, scholars like [Mathematician’s Name] represent a unique intersection of local and global mathematical discourse. Their work, for instance, bridges classical and modern approaches to [specific topic: e.g., algebraic structures], reflecting both Ankara’s emphasis on rigorous foundational training and its openness to interdisciplinary research.</w:t>
      </w:r>
    </w:p>
    <w:p>
      <w:pPr>
        <w:pStyle w:val="BodyText"/>
      </w:pPr>
      <w:r>
        <w:t xml:space="preserve">Existing literature on mathematics in Turkey often highlights the challenges of resource allocation, political shifts, and the need for international partnerships. This thesis complements such analyses by focusing on a single mathematician’s career trajectory within these constraints. It draws from primary sources—including [Mathematician’s Name]’s published papers, lecture notes from Ankara-based institutions, and interviews with colleagues—to reconstruct their intellectual legacy.</w:t>
      </w:r>
    </w:p>
    <w:bookmarkEnd w:id="22"/>
    <w:bookmarkStart w:id="23" w:name="methodology"/>
    <w:p>
      <w:pPr>
        <w:pStyle w:val="Heading2"/>
      </w:pPr>
      <w:r>
        <w:rPr>
          <w:bCs/>
          <w:b/>
        </w:rPr>
        <w:t xml:space="preserve">Methodology</w:t>
      </w:r>
    </w:p>
    <w:p>
      <w:pPr>
        <w:pStyle w:val="FirstParagraph"/>
      </w:pPr>
      <w:r>
        <w:t xml:space="preserve">The research methodology combines qualitative and archival approaches. Primary data includes [Mathematician’s Name]’s academic publications, correspondence with international collaborators, and institutional records from Ankara-based universities. Secondary sources encompass scholarly articles on mathematics in Turkey, historical analyses of Ankara’s academic development, and comparative studies of mathematical innovation in other regional contexts.</w:t>
      </w:r>
    </w:p>
    <w:p>
      <w:pPr>
        <w:pStyle w:val="BodyText"/>
      </w:pPr>
      <w:r>
        <w:t xml:space="preserve">The thesis employs a case-study framework to dissect [Mathematician’s Name]’s contributions. This involves: (1) contextualizing their research within the timeline of Ankara’s educational evolution; (2) evaluating the impact of their work on students, colleagues, and institutions; and (3) identifying gaps in existing scholarship about Turkish mathematicians.</w:t>
      </w:r>
    </w:p>
    <w:bookmarkEnd w:id="23"/>
    <w:bookmarkStart w:id="24" w:name="findings"/>
    <w:p>
      <w:pPr>
        <w:pStyle w:val="Heading2"/>
      </w:pPr>
      <w:r>
        <w:rPr>
          <w:bCs/>
          <w:b/>
        </w:rPr>
        <w:t xml:space="preserve">Findings</w:t>
      </w:r>
    </w:p>
    <w:p>
      <w:pPr>
        <w:pStyle w:val="FirstParagraph"/>
      </w:pPr>
      <w:r>
        <w:t xml:space="preserve">The analysis reveals that [Mathematician’s Name]’s work on [specific research topic: e.g., fractal geometry in engineering applications] has had both theoretical and practical implications. For example, their 1990 paper titled “[Title of Paper],” published in the Journal of Mathematical Physics, introduced a novel approach to solving partial differential equations, which was later adopted by researchers at Ankara University’s Department of Applied Mathematics.</w:t>
      </w:r>
    </w:p>
    <w:p>
      <w:pPr>
        <w:pStyle w:val="BodyText"/>
      </w:pPr>
      <w:r>
        <w:t xml:space="preserve">Furthermore, [Mathematician’s Name] played a key role in establishing Ankara as a center for mathematical education. Their leadership in curriculum development at [University Name]—particularly their emphasis on integrating computational tools into undergraduate programs—has influenced generations of students. This aligns with Ankara’s broader commitment to modernizing STEM education.</w:t>
      </w:r>
    </w:p>
    <w:bookmarkEnd w:id="24"/>
    <w:bookmarkStart w:id="25" w:name="discussion"/>
    <w:p>
      <w:pPr>
        <w:pStyle w:val="Heading2"/>
      </w:pPr>
      <w:r>
        <w:rPr>
          <w:bCs/>
          <w:b/>
        </w:rPr>
        <w:t xml:space="preserve">Discussion</w:t>
      </w:r>
    </w:p>
    <w:p>
      <w:pPr>
        <w:pStyle w:val="FirstParagraph"/>
      </w:pPr>
      <w:r>
        <w:t xml:space="preserve">The findings underscore the symbiotic relationship between individual mathematicians and institutional ecosystems. In Ankara, where state funding for research has fluctuated over decades, [Mathematician’s Name]’s ability to secure international grants and collaborate with global institutions (e.g., MIT or ETH Zurich) exemplifies the city’s strategic positioning as a bridge between Eastern and Western academic networks.</w:t>
      </w:r>
    </w:p>
    <w:p>
      <w:pPr>
        <w:pStyle w:val="BodyText"/>
      </w:pPr>
      <w:r>
        <w:t xml:space="preserve">However, challenges remain. The thesis also highlights systemic issues such as limited funding for theoretical mathematics in Turkey, which may have constrained [Mathematician’s Name]’s long-term research goals. This raises critical questions about how to sustain mathematical innovation in regions with resource limitations.</w:t>
      </w:r>
    </w:p>
    <w:bookmarkEnd w:id="25"/>
    <w:bookmarkStart w:id="26" w:name="conclusion"/>
    <w:p>
      <w:pPr>
        <w:pStyle w:val="Heading2"/>
      </w:pPr>
      <w:r>
        <w:rPr>
          <w:bCs/>
          <w:b/>
        </w:rPr>
        <w:t xml:space="preserve">Conclusion</w:t>
      </w:r>
    </w:p>
    <w:p>
      <w:pPr>
        <w:pStyle w:val="FirstParagraph"/>
      </w:pPr>
      <w:r>
        <w:t xml:space="preserve">In conclusion, this Master Thesis demonstrates that the contributions of [Mathematician’s Name] represent a microcosm of Ankara’s role as a crucible for mathematical advancement in Turkey. Their work not only advanced their field but also reinforced the city’s reputation as a hub for academic rigor and interdisciplinary collaboration. By examining their legacy, this study offers recommendations for supporting future mathematicians in Ankara, including increased funding for theoretical research, expanded international partnerships, and greater integration of mathematics into public policy.</w:t>
      </w:r>
    </w:p>
    <w:p>
      <w:pPr>
        <w:pStyle w:val="BodyText"/>
      </w:pPr>
      <w:r>
        <w:t xml:space="preserve">The narrative of [Mathematician’s Name] serves as both an inspiration and a cautionary tale—a reminder of the potential for individual brilliance to thrive within systemic challenges, while also highlighting the need for structural support to sustain such contributions.</w:t>
      </w:r>
    </w:p>
    <w:bookmarkEnd w:id="26"/>
    <w:bookmarkStart w:id="27" w:name="references"/>
    <w:p>
      <w:pPr>
        <w:pStyle w:val="Heading2"/>
      </w:pPr>
      <w:r>
        <w:rPr>
          <w:bCs/>
          <w:b/>
        </w:rPr>
        <w:t xml:space="preserve">References</w:t>
      </w:r>
    </w:p>
    <w:p>
      <w:pPr>
        <w:numPr>
          <w:ilvl w:val="0"/>
          <w:numId w:val="1001"/>
        </w:numPr>
        <w:pStyle w:val="Compact"/>
      </w:pPr>
      <w:r>
        <w:t xml:space="preserve">[Author], "[Title of Paper]," Journal Name, Year.</w:t>
      </w:r>
    </w:p>
    <w:p>
      <w:pPr>
        <w:numPr>
          <w:ilvl w:val="0"/>
          <w:numId w:val="1001"/>
        </w:numPr>
        <w:pStyle w:val="Compact"/>
      </w:pPr>
      <w:r>
        <w:t xml:space="preserve">[Author], "Mathematics in Turkey: A Historical Perspective," Publisher, Year.</w:t>
      </w:r>
    </w:p>
    <w:p>
      <w:pPr>
        <w:numPr>
          <w:ilvl w:val="0"/>
          <w:numId w:val="1001"/>
        </w:numPr>
        <w:pStyle w:val="Compact"/>
      </w:pPr>
      <w:r>
        <w:t xml:space="preserve">Ankara University Archives. [Collection Name].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a Mathematician in Turkey Ankara</dc:title>
  <dc:creator/>
  <dc:language>en</dc:language>
  <cp:keywords/>
  <dcterms:created xsi:type="dcterms:W3CDTF">2026-07-14T04:58:26Z</dcterms:created>
  <dcterms:modified xsi:type="dcterms:W3CDTF">2026-07-14T04:58:26Z</dcterms:modified>
</cp:coreProperties>
</file>

<file path=docProps/custom.xml><?xml version="1.0" encoding="utf-8"?>
<Properties xmlns="http://schemas.openxmlformats.org/officeDocument/2006/custom-properties" xmlns:vt="http://schemas.openxmlformats.org/officeDocument/2006/docPropsVTypes"/>
</file>