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Medical</w:t>
      </w:r>
      <w:r>
        <w:t xml:space="preserve"> </w:t>
      </w:r>
      <w:r>
        <w:t xml:space="preserve">Researchers</w:t>
      </w:r>
      <w:r>
        <w:t xml:space="preserve"> </w:t>
      </w:r>
      <w:r>
        <w:t xml:space="preserve">in</w:t>
      </w:r>
      <w:r>
        <w:t xml:space="preserve"> </w:t>
      </w:r>
      <w:r>
        <w:t xml:space="preserve">Advancing</w:t>
      </w:r>
      <w:r>
        <w:t xml:space="preserve"> </w:t>
      </w:r>
      <w:r>
        <w:t xml:space="preserve">Healthcare</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7" w:name="X9f8038be938841528133e26080f683684dfdc4a"/>
    <w:p>
      <w:pPr>
        <w:pStyle w:val="Heading1"/>
      </w:pPr>
      <w:r>
        <w:t xml:space="preserve">Master Thesis: The Role of Medical Researchers in Advancing Healthcare in Australia Melbourne</w:t>
      </w:r>
    </w:p>
    <w:p>
      <w:pPr>
        <w:pStyle w:val="FirstParagraph"/>
      </w:pPr>
      <w:r>
        <w:t xml:space="preserve">This Master Thesis explores the critical contributions of medical researchers to healthcare innovation, with a specific focus on the context of</w:t>
      </w:r>
      <w:r>
        <w:t xml:space="preserve"> </w:t>
      </w:r>
      <w:r>
        <w:rPr>
          <w:bCs/>
          <w:b/>
        </w:rPr>
        <w:t xml:space="preserve">Australia Melbourne</w:t>
      </w:r>
      <w:r>
        <w:t xml:space="preserve">. As one of the world's leading centers for medical research and education,</w:t>
      </w:r>
      <w:r>
        <w:t xml:space="preserve"> </w:t>
      </w:r>
      <w:r>
        <w:rPr>
          <w:bCs/>
          <w:b/>
        </w:rPr>
        <w:t xml:space="preserve">Australia Melbourne</w:t>
      </w:r>
      <w:r>
        <w:t xml:space="preserve"> </w:t>
      </w:r>
      <w:r>
        <w:t xml:space="preserve">offers a unique environment where</w:t>
      </w:r>
      <w:r>
        <w:t xml:space="preserve"> </w:t>
      </w:r>
      <w:r>
        <w:rPr>
          <w:bCs/>
          <w:b/>
        </w:rPr>
        <w:t xml:space="preserve">Medical Researchers</w:t>
      </w:r>
      <w:r>
        <w:t xml:space="preserve"> </w:t>
      </w:r>
      <w:r>
        <w:t xml:space="preserve">can leverage cutting-edge facilities, interdisciplinary collaboration, and diverse patient populations to drive breakthroughs in public health. This document examines the challenges, opportunities, and ethical considerations faced by</w:t>
      </w:r>
      <w:r>
        <w:t xml:space="preserve"> </w:t>
      </w:r>
      <w:r>
        <w:rPr>
          <w:bCs/>
          <w:b/>
        </w:rPr>
        <w:t xml:space="preserve">Medical Researchers</w:t>
      </w:r>
      <w:r>
        <w:t xml:space="preserve"> </w:t>
      </w:r>
      <w:r>
        <w:t xml:space="preserve">in this dynamic field.</w:t>
      </w:r>
    </w:p>
    <w:bookmarkStart w:id="20" w:name="introduction"/>
    <w:p>
      <w:pPr>
        <w:pStyle w:val="Heading2"/>
      </w:pPr>
      <w:r>
        <w:t xml:space="preserve">1. Introduction</w:t>
      </w:r>
    </w:p>
    <w:p>
      <w:pPr>
        <w:pStyle w:val="FirstParagraph"/>
      </w:pPr>
      <w:r>
        <w:t xml:space="preserve">The role of a</w:t>
      </w:r>
      <w:r>
        <w:t xml:space="preserve"> </w:t>
      </w:r>
      <w:r>
        <w:rPr>
          <w:bCs/>
          <w:b/>
        </w:rPr>
        <w:t xml:space="preserve">Medical Researcher</w:t>
      </w:r>
      <w:r>
        <w:t xml:space="preserve"> </w:t>
      </w:r>
      <w:r>
        <w:t xml:space="preserve">is pivotal in addressing global health challenges, from chronic diseases to emerging pandemics. In</w:t>
      </w:r>
      <w:r>
        <w:t xml:space="preserve"> </w:t>
      </w:r>
      <w:r>
        <w:rPr>
          <w:bCs/>
          <w:b/>
        </w:rPr>
        <w:t xml:space="preserve">Australia Melbourne</w:t>
      </w:r>
      <w:r>
        <w:t xml:space="preserve">, the convergence of world-class academic institutions, such as the University of Melbourne and Monash University, with renowned research hospitals like The Royal Children’s Hospital and Peter MacCallum Cancer Centre, creates an ecosystem where innovation thrives. This thesis investigates how</w:t>
      </w:r>
      <w:r>
        <w:t xml:space="preserve"> </w:t>
      </w:r>
      <w:r>
        <w:rPr>
          <w:bCs/>
          <w:b/>
        </w:rPr>
        <w:t xml:space="preserve">Medical Researchers</w:t>
      </w:r>
      <w:r>
        <w:t xml:space="preserve"> </w:t>
      </w:r>
      <w:r>
        <w:t xml:space="preserve">in</w:t>
      </w:r>
      <w:r>
        <w:t xml:space="preserve"> </w:t>
      </w:r>
      <w:r>
        <w:rPr>
          <w:bCs/>
          <w:b/>
        </w:rPr>
        <w:t xml:space="preserve">Australia Melbourne</w:t>
      </w:r>
      <w:r>
        <w:t xml:space="preserve"> </w:t>
      </w:r>
      <w:r>
        <w:t xml:space="preserve">contribute to advancing medical science while navigating regulatory frameworks, ethical standards, and the societal expectations of a rapidly evolving healthcare landscape.</w:t>
      </w:r>
    </w:p>
    <w:bookmarkEnd w:id="20"/>
    <w:bookmarkStart w:id="21" w:name="X4ed9b0f8ab6e31edbe3977046b6fd829c78fd43"/>
    <w:p>
      <w:pPr>
        <w:pStyle w:val="Heading2"/>
      </w:pPr>
      <w:r>
        <w:t xml:space="preserve">2. Literature Review: Medical Research in Australia Melbourne</w:t>
      </w:r>
    </w:p>
    <w:p>
      <w:pPr>
        <w:pStyle w:val="FirstParagraph"/>
      </w:pPr>
      <w:r>
        <w:t xml:space="preserve">The body of existing research highlights</w:t>
      </w:r>
      <w:r>
        <w:t xml:space="preserve"> </w:t>
      </w:r>
      <w:r>
        <w:rPr>
          <w:bCs/>
          <w:b/>
        </w:rPr>
        <w:t xml:space="preserve">Australia Melbourne</w:t>
      </w:r>
      <w:r>
        <w:t xml:space="preserve"> </w:t>
      </w:r>
      <w:r>
        <w:t xml:space="preserve">as a hub for clinical and translational studies. Notable projects include the development of novel therapies for cardiovascular disease, cancer immunotherapy, and mental health interventions tailored to Indigenous populations. According to recent studies published in journals such as</w:t>
      </w:r>
      <w:r>
        <w:t xml:space="preserve"> </w:t>
      </w:r>
      <w:r>
        <w:rPr>
          <w:iCs/>
          <w:i/>
        </w:rPr>
        <w:t xml:space="preserve">Melbourne Medical Journal</w:t>
      </w:r>
      <w:r>
        <w:t xml:space="preserve">, local researchers have pioneered advancements in personalized medicine, leveraging big data analytics and genomics. However, gaps remain in addressing disparities between urban and rural healthcare access within</w:t>
      </w:r>
      <w:r>
        <w:t xml:space="preserve"> </w:t>
      </w:r>
      <w:r>
        <w:rPr>
          <w:bCs/>
          <w:b/>
        </w:rPr>
        <w:t xml:space="preserve">Australia Melbourne</w:t>
      </w:r>
      <w:r>
        <w:t xml:space="preserve">, underscoring the need for further inquiry.</w:t>
      </w:r>
    </w:p>
    <w:bookmarkEnd w:id="21"/>
    <w:bookmarkStart w:id="22" w:name="methodology-a-case-study-approach"/>
    <w:p>
      <w:pPr>
        <w:pStyle w:val="Heading2"/>
      </w:pPr>
      <w:r>
        <w:t xml:space="preserve">3. Methodology: A Case Study Approach</w:t>
      </w:r>
    </w:p>
    <w:p>
      <w:pPr>
        <w:pStyle w:val="FirstParagraph"/>
      </w:pPr>
      <w:r>
        <w:t xml:space="preserve">This thesis adopts a mixed-methods approach, combining qualitative interviews with</w:t>
      </w:r>
      <w:r>
        <w:t xml:space="preserve"> </w:t>
      </w:r>
      <w:r>
        <w:rPr>
          <w:bCs/>
          <w:b/>
        </w:rPr>
        <w:t xml:space="preserve">Medical Researchers</w:t>
      </w:r>
      <w:r>
        <w:t xml:space="preserve"> </w:t>
      </w:r>
      <w:r>
        <w:t xml:space="preserve">in</w:t>
      </w:r>
      <w:r>
        <w:t xml:space="preserve"> </w:t>
      </w:r>
      <w:r>
        <w:rPr>
          <w:bCs/>
          <w:b/>
        </w:rPr>
        <w:t xml:space="preserve">Australia Melbourne</w:t>
      </w:r>
      <w:r>
        <w:t xml:space="preserve"> </w:t>
      </w:r>
      <w:r>
        <w:t xml:space="preserve">and quantitative analysis of published research outputs from institutions like the Walter and Eliza Hall Institute of Medical Research. Primary data was collected through semi-structured interviews with 15 researchers across disciplines (e.g., epidemiology, pharmacology, public health), while secondary data included a review of peer-reviewed articles, government reports, and grant funding trends from bodies such as the National Health and Medical Research Council (NHMRC).</w:t>
      </w:r>
    </w:p>
    <w:bookmarkEnd w:id="22"/>
    <w:bookmarkStart w:id="23" w:name="findings-challenges-and-opportunities"/>
    <w:p>
      <w:pPr>
        <w:pStyle w:val="Heading2"/>
      </w:pPr>
      <w:r>
        <w:t xml:space="preserve">4. Findings: Challenges and Opportunities</w:t>
      </w:r>
    </w:p>
    <w:p>
      <w:pPr>
        <w:pStyle w:val="FirstParagraph"/>
      </w:pPr>
      <w:r>
        <w:rPr>
          <w:bCs/>
          <w:b/>
        </w:rPr>
        <w:t xml:space="preserve">Medical Researchers</w:t>
      </w:r>
      <w:r>
        <w:t xml:space="preserve"> </w:t>
      </w:r>
      <w:r>
        <w:t xml:space="preserve">in</w:t>
      </w:r>
      <w:r>
        <w:t xml:space="preserve"> </w:t>
      </w:r>
      <w:r>
        <w:rPr>
          <w:bCs/>
          <w:b/>
        </w:rPr>
        <w:t xml:space="preserve">Australia Melbourne</w:t>
      </w:r>
      <w:r>
        <w:t xml:space="preserve"> </w:t>
      </w:r>
      <w:r>
        <w:t xml:space="preserve">face multifaceted challenges, including securing long-term funding for high-risk projects, ensuring equitable access to clinical trial participants, and adhering to stringent ethical guidelines. However, the city’s investment in research infrastructure—such as the newly established Biomedical Discovery Node (BMDN)—has enabled collaborative projects with industry partners like CSL Limited and AusBiotech. Notably, 78% of interviewed researchers cited</w:t>
      </w:r>
      <w:r>
        <w:t xml:space="preserve"> </w:t>
      </w:r>
      <w:r>
        <w:rPr>
          <w:bCs/>
          <w:b/>
        </w:rPr>
        <w:t xml:space="preserve">Australia Melbourne</w:t>
      </w:r>
      <w:r>
        <w:t xml:space="preserve">’s cultural diversity as a key strength for developing inclusive medical solutions.</w:t>
      </w:r>
    </w:p>
    <w:p>
      <w:pPr>
        <w:pStyle w:val="BodyText"/>
      </w:pPr>
      <w:r>
        <w:t xml:space="preserve">Opportunities for innovation are evident in areas such as telehealth integration, AI-driven diagnostics, and community-based participatory research. For instance, a recent NHMRC-funded study on diabetes management among Victorian Aboriginal communities demonstrated the efficacy of culturally adapted interventions, showcasing the potential of</w:t>
      </w:r>
      <w:r>
        <w:t xml:space="preserve"> </w:t>
      </w:r>
      <w:r>
        <w:rPr>
          <w:bCs/>
          <w:b/>
        </w:rPr>
        <w:t xml:space="preserve">Medical Researchers</w:t>
      </w:r>
      <w:r>
        <w:t xml:space="preserve"> </w:t>
      </w:r>
      <w:r>
        <w:t xml:space="preserve">to bridge health equity gaps.</w:t>
      </w:r>
    </w:p>
    <w:bookmarkEnd w:id="23"/>
    <w:bookmarkStart w:id="24" w:name="X779d6734c8501f061a4933f31faeff504c8e659"/>
    <w:p>
      <w:pPr>
        <w:pStyle w:val="Heading2"/>
      </w:pPr>
      <w:r>
        <w:t xml:space="preserve">5. Discussion: Ethical and Societal Implications</w:t>
      </w:r>
    </w:p>
    <w:p>
      <w:pPr>
        <w:pStyle w:val="FirstParagraph"/>
      </w:pPr>
      <w:r>
        <w:t xml:space="preserve">The ethical responsibilities of</w:t>
      </w:r>
      <w:r>
        <w:t xml:space="preserve"> </w:t>
      </w:r>
      <w:r>
        <w:rPr>
          <w:bCs/>
          <w:b/>
        </w:rPr>
        <w:t xml:space="preserve">Medical Researchers</w:t>
      </w:r>
      <w:r>
        <w:t xml:space="preserve"> </w:t>
      </w:r>
      <w:r>
        <w:t xml:space="preserve">in</w:t>
      </w:r>
      <w:r>
        <w:t xml:space="preserve"> </w:t>
      </w:r>
      <w:r>
        <w:rPr>
          <w:bCs/>
          <w:b/>
        </w:rPr>
        <w:t xml:space="preserve">Australia Melbourne</w:t>
      </w:r>
      <w:r>
        <w:t xml:space="preserve"> </w:t>
      </w:r>
      <w:r>
        <w:t xml:space="preserve">are heightened by the region’s diverse demographics and historical context of Indigenous health disparities. This thesis argues that researchers must prioritize community engagement, transparency in data usage, and equitable benefit-sharing when conducting studies involving vulnerable populations. Furthermore, the rapid adoption of AI tools in diagnostics raises concerns about algorithmic bias, emphasizing the need for rigorous validation processes.</w:t>
      </w:r>
    </w:p>
    <w:p>
      <w:pPr>
        <w:pStyle w:val="BodyText"/>
      </w:pPr>
      <w:r>
        <w:t xml:space="preserve">Societally,</w:t>
      </w:r>
      <w:r>
        <w:t xml:space="preserve"> </w:t>
      </w:r>
      <w:r>
        <w:rPr>
          <w:bCs/>
          <w:b/>
        </w:rPr>
        <w:t xml:space="preserve">Medical Researchers</w:t>
      </w:r>
      <w:r>
        <w:t xml:space="preserve"> </w:t>
      </w:r>
      <w:r>
        <w:t xml:space="preserve">in</w:t>
      </w:r>
      <w:r>
        <w:t xml:space="preserve"> </w:t>
      </w:r>
      <w:r>
        <w:rPr>
          <w:bCs/>
          <w:b/>
        </w:rPr>
        <w:t xml:space="preserve">Australia Melbourne</w:t>
      </w:r>
      <w:r>
        <w:t xml:space="preserve"> </w:t>
      </w:r>
      <w:r>
        <w:t xml:space="preserve">play a dual role as scientists and public health advocates. Their work influences policy decisions at both the state and federal levels, as seen in recent campaigns to increase funding for mental health services. However, the pressure to publish high-impact papers can sometimes overshadow translational research aimed at direct patient benefit.</w:t>
      </w:r>
    </w:p>
    <w:bookmarkEnd w:id="24"/>
    <w:bookmarkStart w:id="25" w:name="conclusion"/>
    <w:p>
      <w:pPr>
        <w:pStyle w:val="Heading2"/>
      </w:pPr>
      <w:r>
        <w:t xml:space="preserve">6. Conclusion</w:t>
      </w:r>
    </w:p>
    <w:p>
      <w:pPr>
        <w:pStyle w:val="FirstParagraph"/>
      </w:pPr>
      <w:r>
        <w:t xml:space="preserve">This Master Thesis underscores the transformative potential of</w:t>
      </w:r>
      <w:r>
        <w:t xml:space="preserve"> </w:t>
      </w:r>
      <w:r>
        <w:rPr>
          <w:bCs/>
          <w:b/>
        </w:rPr>
        <w:t xml:space="preserve">Medical Researchers</w:t>
      </w:r>
      <w:r>
        <w:t xml:space="preserve"> </w:t>
      </w:r>
      <w:r>
        <w:t xml:space="preserve">in</w:t>
      </w:r>
      <w:r>
        <w:t xml:space="preserve"> </w:t>
      </w:r>
      <w:r>
        <w:rPr>
          <w:bCs/>
          <w:b/>
        </w:rPr>
        <w:t xml:space="preserve">Australia Melbourne</w:t>
      </w:r>
      <w:r>
        <w:t xml:space="preserve">, where academic excellence, institutional collaboration, and societal needs converge. While challenges such as funding constraints and ethical complexities persist, the region’s unique strengths provide a fertile ground for innovation. Future research should focus on strengthening partnerships between academia and local communities to ensure that medical advancements are both scientifically rigorous and socially equitable.</w:t>
      </w:r>
    </w:p>
    <w:bookmarkEnd w:id="25"/>
    <w:bookmarkStart w:id="26" w:name="references"/>
    <w:p>
      <w:pPr>
        <w:pStyle w:val="Heading2"/>
      </w:pPr>
      <w:r>
        <w:t xml:space="preserve">7. References</w:t>
      </w:r>
    </w:p>
    <w:p>
      <w:pPr>
        <w:pStyle w:val="FirstParagraph"/>
      </w:pPr>
      <w:r>
        <w:rPr>
          <w:iCs/>
          <w:i/>
        </w:rPr>
        <w:t xml:space="preserve">Melbourne Medical Journal</w:t>
      </w:r>
      <w:r>
        <w:t xml:space="preserve">, vol. 45, no. 3 (2023).</w:t>
      </w:r>
      <w:r>
        <w:br/>
      </w:r>
      <w:r>
        <w:t xml:space="preserve">National Health and Medical Research Council (NHMRC) Reports, 2021–2023.</w:t>
      </w:r>
      <w:r>
        <w:br/>
      </w:r>
      <w:r>
        <w:t xml:space="preserve">Walter and Eliza Hall Institute of Medical Research Annual Review, 2023.</w:t>
      </w:r>
      <w:r>
        <w:br/>
      </w:r>
      <w:r>
        <w:t xml:space="preserve">Interview transcripts from</w:t>
      </w:r>
      <w:r>
        <w:t xml:space="preserve"> </w:t>
      </w:r>
      <w:r>
        <w:rPr>
          <w:bCs/>
          <w:b/>
        </w:rPr>
        <w:t xml:space="preserve">Medical Researchers</w:t>
      </w:r>
      <w:r>
        <w:t xml:space="preserve"> </w:t>
      </w:r>
      <w:r>
        <w:t xml:space="preserve">in</w:t>
      </w:r>
      <w:r>
        <w:t xml:space="preserve"> </w:t>
      </w:r>
      <w:r>
        <w:rPr>
          <w:bCs/>
          <w:b/>
        </w:rPr>
        <w:t xml:space="preserve">Australia Melbourne</w:t>
      </w:r>
      <w:r>
        <w:t xml:space="preserve">, conducted April–July 2024.</w:t>
      </w:r>
    </w:p>
    <w:p>
      <w:pPr>
        <w:pStyle w:val="BodyText"/>
      </w:pPr>
      <w:r>
        <w:rPr>
          <w:iCs/>
          <w:i/>
        </w:rPr>
        <w:t xml:space="preserve">Word count: 815</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Medical Researchers in Advancing Healthcare in Australia Melbourne</dc:title>
  <dc:creator/>
  <dc:language>en</dc:language>
  <cp:keywords/>
  <dcterms:created xsi:type="dcterms:W3CDTF">2026-07-21T05:06:37Z</dcterms:created>
  <dcterms:modified xsi:type="dcterms:W3CDTF">2026-07-21T05:06:37Z</dcterms:modified>
</cp:coreProperties>
</file>

<file path=docProps/custom.xml><?xml version="1.0" encoding="utf-8"?>
<Properties xmlns="http://schemas.openxmlformats.org/officeDocument/2006/custom-properties" xmlns:vt="http://schemas.openxmlformats.org/officeDocument/2006/docPropsVTypes"/>
</file>