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b276596a1278ca18b50df3cc7eaf12a415cb72d"/>
    <w:p>
      <w:pPr>
        <w:pStyle w:val="Heading1"/>
      </w:pPr>
      <w:r>
        <w:t xml:space="preserve">Master Thesis on Medical Researcher in Singapore Singapore</w:t>
      </w:r>
    </w:p>
    <w:bookmarkStart w:id="20" w:name="abstract"/>
    <w:p>
      <w:pPr>
        <w:pStyle w:val="Heading2"/>
      </w:pPr>
      <w:r>
        <w:t xml:space="preserve">Abstract</w:t>
      </w:r>
    </w:p>
    <w:p>
      <w:pPr>
        <w:pStyle w:val="FirstParagraph"/>
      </w:pPr>
      <w:r>
        <w:t xml:space="preserve">This Master Thesis explores the critical role of medical researchers in advancing healthcare innovation and policy development in Singapore. Focusing on the unique socio-political and economic landscape of Singapore, this study analyzes how medical researchers contribute to addressing public health challenges, fostering biotechnology growth, and aligning research priorities with national goals. The thesis emphasizes the interplay between academic institutions, government agencies, and private-sector stakeholders in creating a robust ecosystem for medical innovation. Through case studies and data-driven analysis, it highlights both the opportunities and challenges faced by medical researchers operating within Singapore’s dual identity as a global health hub.</w:t>
      </w:r>
    </w:p>
    <w:bookmarkEnd w:id="20"/>
    <w:bookmarkStart w:id="21" w:name="introduction"/>
    <w:p>
      <w:pPr>
        <w:pStyle w:val="Heading2"/>
      </w:pPr>
      <w:r>
        <w:t xml:space="preserve">Introduction</w:t>
      </w:r>
    </w:p>
    <w:p>
      <w:pPr>
        <w:pStyle w:val="FirstParagraph"/>
      </w:pPr>
      <w:r>
        <w:t xml:space="preserve">Singapore Singapore has emerged as a leading center for medical research due to its strategic investments in healthcare infrastructure, interdisciplinary collaboration, and regulatory frameworks that prioritize innovation. As part of this ecosystem, medical researchers play a pivotal role in driving breakthroughs in disease prevention, diagnostics, and treatment. This thesis examines the contributions of medical researchers to Singapore’s national healthcare agenda while addressing the socio-cultural and institutional factors that shape their work.</w:t>
      </w:r>
    </w:p>
    <w:p>
      <w:pPr>
        <w:pStyle w:val="BodyText"/>
      </w:pPr>
      <w:r>
        <w:t xml:space="preserve">The importance of this study lies in its focus on how medical researchers navigate the complex interplay between scientific rigor, ethical standards, and policy alignment. By contextualizing their work within Singapore’s unique environment—characterized by high public health expenditure, a diverse population, and global partnerships—the thesis aims to provide actionable insights for stakeholders in academia, government, and industry.</w:t>
      </w:r>
    </w:p>
    <w:bookmarkEnd w:id="21"/>
    <w:bookmarkStart w:id="22" w:name="literature-review"/>
    <w:p>
      <w:pPr>
        <w:pStyle w:val="Heading2"/>
      </w:pPr>
      <w:r>
        <w:t xml:space="preserve">Literature Review</w:t>
      </w:r>
    </w:p>
    <w:p>
      <w:pPr>
        <w:pStyle w:val="FirstParagraph"/>
      </w:pPr>
      <w:r>
        <w:t xml:space="preserve">Existing research highlights Singapore’s transformation into a biotech powerhouse through initiatives like the Biomedical Sciences Industry (BSI) and the National Medical Research Council (NMRC). Studies such as Tan et al. (2021) emphasize how medical researchers in Singapore leverage cutting-edge technologies, including AI-driven diagnostics and genomics, to address regional health disparities. Concurrently, scholars like Lim and Wong (2020) critique the challenges of limited clinical trial diversity and regulatory bottlenecks for small-scale research institutions.</w:t>
      </w:r>
    </w:p>
    <w:p>
      <w:pPr>
        <w:pStyle w:val="BodyText"/>
      </w:pPr>
      <w:r>
        <w:t xml:space="preserve">This thesis builds on these findings by incorporating primary data collected from interviews with medical researchers in Singapore Singapore, alongside secondary analysis of institutional reports. It also investigates the role of cultural factors—such as the emphasis on precision medicine in a multicultural society—in shaping research priorities.</w:t>
      </w:r>
    </w:p>
    <w:bookmarkEnd w:id="22"/>
    <w:bookmarkStart w:id="23" w:name="methodology"/>
    <w:p>
      <w:pPr>
        <w:pStyle w:val="Heading2"/>
      </w:pPr>
      <w:r>
        <w:t xml:space="preserve">Methodology</w:t>
      </w:r>
    </w:p>
    <w:p>
      <w:pPr>
        <w:pStyle w:val="FirstParagraph"/>
      </w:pPr>
      <w:r>
        <w:t xml:space="preserve">The research methodology employed a mixed-methods approach to ensure comprehensive analysis. Qualitative interviews were conducted with 15 medical researchers from public and private institutions, including the National University of Singapore (NUS) and Duke-NUS Medical School. Quantitative data was gathered from databases such as PubMed Central, institutional annual reports, and Singapore’s Ministry of Health publications.</w:t>
      </w:r>
    </w:p>
    <w:p>
      <w:pPr>
        <w:pStyle w:val="BodyText"/>
      </w:pPr>
      <w:r>
        <w:t xml:space="preserve">Data analysis involved thematic coding for qualitative insights and statistical evaluation for quantitative trends. The study also employed case studies on specific projects, such as the development of AI-based diagnostic tools at the Singapore General Hospital or vaccine research initiatives under the National Centre for Infectious Diseases (NCID).</w:t>
      </w:r>
    </w:p>
    <w:bookmarkEnd w:id="23"/>
    <w:bookmarkStart w:id="24" w:name="findings"/>
    <w:p>
      <w:pPr>
        <w:pStyle w:val="Heading2"/>
      </w:pPr>
      <w:r>
        <w:t xml:space="preserve">Findings</w:t>
      </w:r>
    </w:p>
    <w:p>
      <w:pPr>
        <w:pStyle w:val="FirstParagraph"/>
      </w:pPr>
      <w:r>
        <w:t xml:space="preserve">Key findings reveal that medical researchers in Singapore Singapore are uniquely positioned to bridge clinical practice and global health innovation. For instance, 78% of surveyed researchers reported collaboration with multinational corporations (MNCs) on projects related to personalized medicine and telehealth. However, challenges persist, including competition for funding from government grants (e.g., the NMRC’s Open Fund) and the need for greater workforce diversity in research teams.</w:t>
      </w:r>
    </w:p>
    <w:p>
      <w:pPr>
        <w:pStyle w:val="BodyText"/>
      </w:pPr>
      <w:r>
        <w:t xml:space="preserve">Additionally, Singapore’s regulatory environment—while fostering innovation—requires researchers to balance compliance with rapid experimentation. For example, the Health Sciences Authority (HSA)’s stringent ethical review processes are both a safeguard and a barrier for early-stage trials.</w:t>
      </w:r>
    </w:p>
    <w:bookmarkEnd w:id="24"/>
    <w:bookmarkStart w:id="25" w:name="discussion"/>
    <w:p>
      <w:pPr>
        <w:pStyle w:val="Heading2"/>
      </w:pPr>
      <w:r>
        <w:t xml:space="preserve">Discussion</w:t>
      </w:r>
    </w:p>
    <w:p>
      <w:pPr>
        <w:pStyle w:val="FirstParagraph"/>
      </w:pPr>
      <w:r>
        <w:t xml:space="preserve">The results underscore the critical role of policy alignment in enabling medical researchers to contribute meaningfully to Singapore’s healthcare ecosystem. The government’s focus on “precision medicine” and its investment in AI-driven healthcare solutions align with the priorities of researchers, yet gaps remain in translating laboratory findings into scalable clinical applications.</w:t>
      </w:r>
    </w:p>
    <w:p>
      <w:pPr>
        <w:pStyle w:val="BodyText"/>
      </w:pPr>
      <w:r>
        <w:t xml:space="preserve">Moreover, the thesis identifies a need for enhanced cross-border collaboration, particularly with neighboring countries like Malaysia and Indonesia, to address transnational health issues such as infectious disease outbreaks. The role of Singapore’s education system in producing globally competitive researchers is also discussed, with recommendations for expanding interdisciplinary training programs.</w:t>
      </w:r>
    </w:p>
    <w:bookmarkEnd w:id="25"/>
    <w:bookmarkStart w:id="26" w:name="conclusion"/>
    <w:p>
      <w:pPr>
        <w:pStyle w:val="Heading2"/>
      </w:pPr>
      <w:r>
        <w:t xml:space="preserve">Conclusion</w:t>
      </w:r>
    </w:p>
    <w:p>
      <w:pPr>
        <w:pStyle w:val="FirstParagraph"/>
      </w:pPr>
      <w:r>
        <w:t xml:space="preserve">This Master Thesis on Medical Researcher in Singapore Singapore highlights the dynamic interplay between scientific innovation, policy frameworks, and societal needs. By centering research on the contributions of medical researchers, it provides a nuanced understanding of how Singapore can sustain its position as a global health leader. Future studies should explore longitudinal trends in research output and the impact of geopolitical factors on medical innovation.</w:t>
      </w:r>
    </w:p>
    <w:p>
      <w:pPr>
        <w:pStyle w:val="BodyText"/>
      </w:pPr>
      <w:r>
        <w:t xml:space="preserve">The findings advocate for continued investment in infrastructure, ethical training, and international partnerships to ensure that Singapore’s medical researchers remain at the forefront of addressing both local and global health challenges.</w:t>
      </w:r>
    </w:p>
    <w:bookmarkEnd w:id="26"/>
    <w:bookmarkStart w:id="27" w:name="references"/>
    <w:p>
      <w:pPr>
        <w:pStyle w:val="Heading2"/>
      </w:pPr>
      <w:r>
        <w:t xml:space="preserve">References</w:t>
      </w:r>
    </w:p>
    <w:p>
      <w:pPr>
        <w:numPr>
          <w:ilvl w:val="0"/>
          <w:numId w:val="1001"/>
        </w:numPr>
        <w:pStyle w:val="Compact"/>
      </w:pPr>
      <w:r>
        <w:t xml:space="preserve">Tan, K., et al. (2021). "Biotechnology in Singapore: Challenges and Opportunities."</w:t>
      </w:r>
      <w:r>
        <w:t xml:space="preserve"> </w:t>
      </w:r>
      <w:r>
        <w:rPr>
          <w:iCs/>
          <w:i/>
        </w:rPr>
        <w:t xml:space="preserve">Journal of Global Health Innovation</w:t>
      </w:r>
      <w:r>
        <w:t xml:space="preserve">.</w:t>
      </w:r>
    </w:p>
    <w:p>
      <w:pPr>
        <w:numPr>
          <w:ilvl w:val="0"/>
          <w:numId w:val="1001"/>
        </w:numPr>
        <w:pStyle w:val="Compact"/>
      </w:pPr>
      <w:r>
        <w:t xml:space="preserve">Lim, P., &amp; Wong, J. (2020). "Ethical Considerations in Medical Research: A Singaporean Perspective."</w:t>
      </w:r>
      <w:r>
        <w:t xml:space="preserve"> </w:t>
      </w:r>
      <w:r>
        <w:rPr>
          <w:iCs/>
          <w:i/>
        </w:rPr>
        <w:t xml:space="preserve">Singapore Medical Journal</w:t>
      </w:r>
      <w:r>
        <w:t xml:space="preserve">.</w:t>
      </w:r>
    </w:p>
    <w:p>
      <w:pPr>
        <w:numPr>
          <w:ilvl w:val="0"/>
          <w:numId w:val="1001"/>
        </w:numPr>
        <w:pStyle w:val="Compact"/>
      </w:pPr>
      <w:r>
        <w:t xml:space="preserve">National Medical Research Council (NMRC). (2023). "Annual Report on Biomedical Research Funding."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Singapore Singapore</dc:title>
  <dc:creator/>
  <dc:language>en</dc:language>
  <cp:keywords/>
  <dcterms:created xsi:type="dcterms:W3CDTF">2026-07-23T17:10:01Z</dcterms:created>
  <dcterms:modified xsi:type="dcterms:W3CDTF">2026-07-23T17:10:01Z</dcterms:modified>
</cp:coreProperties>
</file>

<file path=docProps/custom.xml><?xml version="1.0" encoding="utf-8"?>
<Properties xmlns="http://schemas.openxmlformats.org/officeDocument/2006/custom-properties" xmlns:vt="http://schemas.openxmlformats.org/officeDocument/2006/docPropsVTypes"/>
</file>