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2" w:name="Xb9ae25b884560413390553251f66bc3b5192585"/>
    <w:p>
      <w:pPr>
        <w:pStyle w:val="Heading1"/>
      </w:pPr>
      <w:r>
        <w:t xml:space="preserve">Master Thesis: The Role of the Musician in New Zealand Wellington</w:t>
      </w:r>
    </w:p>
    <w:bookmarkStart w:id="20" w:name="abstract"/>
    <w:p>
      <w:pPr>
        <w:pStyle w:val="Heading2"/>
      </w:pPr>
      <w:r>
        <w:t xml:space="preserve">Abstract</w:t>
      </w:r>
    </w:p>
    <w:p>
      <w:pPr>
        <w:pStyle w:val="FirstParagraph"/>
      </w:pPr>
      <w:r>
        <w:t xml:space="preserve">This Master Thesis explores the multifaceted role of musicians within the cultural and social fabric of New Zealand's capital, Wellington. By examining historical, contemporary, and future trajectories of musical practice in this unique city, the thesis argues that Wellington's identity as a creative hub is deeply intertwined with its musicians. Through case studies, policy analysis, and ethnographic research conducted across Wellington’s venues and institutions, this work highlights the challenges and opportunities faced by musicians in New Zealand’s most culturally vibrant city. The findings aim to inform educational frameworks, community support systems, and policy decisions that sustain Wellington’s position as a global leader in music innovation.</w:t>
      </w:r>
    </w:p>
    <w:bookmarkEnd w:id="20"/>
    <w:bookmarkStart w:id="21" w:name="introduction"/>
    <w:p>
      <w:pPr>
        <w:pStyle w:val="Heading2"/>
      </w:pPr>
      <w:r>
        <w:t xml:space="preserve">Introduction</w:t>
      </w:r>
    </w:p>
    <w:p>
      <w:pPr>
        <w:pStyle w:val="FirstParagraph"/>
      </w:pPr>
      <w:r>
        <w:t xml:space="preserve">New Zealand Wellington stands as a beacon of artistic expression, where the intersection of indigenous Māori culture, European colonial history, and modern multiculturalism creates a dynamic environment for musicians. This thesis investigates how musicians navigate this complex landscape while contributing to Wellington’s reputation as New Zealand’s cultural capital. The study is structured into five sections: historical context, case studies of local musicians, challenges faced by the music industry in Wellington, policy implications for supporting artists, and future directions for research and practice.</w:t>
      </w:r>
    </w:p>
    <w:bookmarkEnd w:id="21"/>
    <w:bookmarkStart w:id="23" w:name="X968576bd8498992b28c0ffd6249ecc4764c34dd"/>
    <w:p>
      <w:pPr>
        <w:pStyle w:val="Heading2"/>
      </w:pPr>
      <w:r>
        <w:t xml:space="preserve">Historical Context: Music in New Zealand Wellington</w:t>
      </w:r>
    </w:p>
    <w:p>
      <w:pPr>
        <w:pStyle w:val="FirstParagraph"/>
      </w:pPr>
      <w:r>
        <w:t xml:space="preserve">Wellington’s musical heritage dates back to the 19th century, when early settlers brought European musical traditions to Aotearoa. However, it was not until the late 20th century that Wellington emerged as a focal point for New Zealand’s music scene. The city’s geography—surrounded by mountains and waterways—combined with its status as the political and administrative center of the country, fostered a unique blend of creativity and community engagement. By the 1980s, Wellington had become synonymous with punk, folk, and indie music movements, laying the groundwork for today’s diverse musical ecosystem.</w:t>
      </w:r>
    </w:p>
    <w:bookmarkStart w:id="22" w:name="key-institutions"/>
    <w:p>
      <w:pPr>
        <w:pStyle w:val="Heading3"/>
      </w:pPr>
      <w:r>
        <w:t xml:space="preserve">Key Institutions</w:t>
      </w:r>
    </w:p>
    <w:p>
      <w:pPr>
        <w:numPr>
          <w:ilvl w:val="0"/>
          <w:numId w:val="1001"/>
        </w:numPr>
        <w:pStyle w:val="Compact"/>
      </w:pPr>
      <w:r>
        <w:rPr>
          <w:bCs/>
          <w:b/>
        </w:rPr>
        <w:t xml:space="preserve">The New Zealand Music Festival (NZMF):</w:t>
      </w:r>
      <w:r>
        <w:t xml:space="preserve"> </w:t>
      </w:r>
      <w:r>
        <w:t xml:space="preserve">A flagship event showcasing local talent and international collaborations.</w:t>
      </w:r>
    </w:p>
    <w:p>
      <w:pPr>
        <w:numPr>
          <w:ilvl w:val="0"/>
          <w:numId w:val="1001"/>
        </w:numPr>
        <w:pStyle w:val="Compact"/>
      </w:pPr>
      <w:r>
        <w:rPr>
          <w:bCs/>
          <w:b/>
        </w:rPr>
        <w:t xml:space="preserve">The School of Music at Victoria University:</w:t>
      </w:r>
      <w:r>
        <w:t xml:space="preserve"> </w:t>
      </w:r>
      <w:r>
        <w:t xml:space="preserve">One of the leading institutions for music education in the country.</w:t>
      </w:r>
    </w:p>
    <w:p>
      <w:pPr>
        <w:numPr>
          <w:ilvl w:val="0"/>
          <w:numId w:val="1001"/>
        </w:numPr>
        <w:pStyle w:val="Compact"/>
      </w:pPr>
      <w:r>
        <w:rPr>
          <w:bCs/>
          <w:b/>
        </w:rPr>
        <w:t xml:space="preserve">The Arts Centre Wellington:</w:t>
      </w:r>
      <w:r>
        <w:t xml:space="preserve"> </w:t>
      </w:r>
      <w:r>
        <w:t xml:space="preserve">A hub for live performances, workshops, and artist residencies.</w:t>
      </w:r>
    </w:p>
    <w:bookmarkEnd w:id="22"/>
    <w:bookmarkEnd w:id="23"/>
    <w:bookmarkStart w:id="25" w:name="Xde2889bc96438ddab4dfb6f8828b94d80267215"/>
    <w:p>
      <w:pPr>
        <w:pStyle w:val="Heading2"/>
      </w:pPr>
      <w:r>
        <w:t xml:space="preserve">Case Study: The Musician as Cultural Architect</w:t>
      </w:r>
    </w:p>
    <w:p>
      <w:pPr>
        <w:pStyle w:val="FirstParagraph"/>
      </w:pPr>
      <w:r>
        <w:t xml:space="preserve">This section focuses on a contemporary musician from Wellington who exemplifies the city’s artistic ethos. [Insert Name], a multi-instrumentalist and composer based in Wellington, has been pivotal in revitalizing traditional Māori musical forms while incorporating global influences. Through interviews and observational research, this thesis reveals how [Name]’s work bridges cultural divides and challenges colonial narratives within New Zealand’s music scene.</w:t>
      </w:r>
    </w:p>
    <w:bookmarkStart w:id="24" w:name="findings"/>
    <w:p>
      <w:pPr>
        <w:pStyle w:val="Heading3"/>
      </w:pPr>
      <w:r>
        <w:t xml:space="preserve">Findings</w:t>
      </w:r>
    </w:p>
    <w:p>
      <w:pPr>
        <w:numPr>
          <w:ilvl w:val="0"/>
          <w:numId w:val="1002"/>
        </w:numPr>
        <w:pStyle w:val="Compact"/>
      </w:pPr>
      <w:r>
        <w:t xml:space="preserve">[Name] emphasizes the importance of Māori language (Te Reo) in their compositions, fostering a sense of identity among younger generations.</w:t>
      </w:r>
    </w:p>
    <w:p>
      <w:pPr>
        <w:numPr>
          <w:ilvl w:val="0"/>
          <w:numId w:val="1002"/>
        </w:numPr>
        <w:pStyle w:val="Compact"/>
      </w:pPr>
      <w:r>
        <w:t xml:space="preserve">Collaborations with Wellington-based artists have led to innovative projects that merge electronic music with traditional haka and waiata.</w:t>
      </w:r>
    </w:p>
    <w:p>
      <w:pPr>
        <w:numPr>
          <w:ilvl w:val="0"/>
          <w:numId w:val="1002"/>
        </w:numPr>
        <w:pStyle w:val="Compact"/>
      </w:pPr>
      <w:r>
        <w:t xml:space="preserve">The musician’s advocacy for accessible music education has inspired policy changes in local schools.</w:t>
      </w:r>
    </w:p>
    <w:bookmarkEnd w:id="24"/>
    <w:bookmarkEnd w:id="25"/>
    <w:bookmarkStart w:id="26" w:name="X9b1334742a7a63f96c7fe9ecc57ac8296aa3c17"/>
    <w:p>
      <w:pPr>
        <w:pStyle w:val="Heading2"/>
      </w:pPr>
      <w:r>
        <w:t xml:space="preserve">Challenges Facing Musicians in New Zealand Wellington</w:t>
      </w:r>
    </w:p>
    <w:p>
      <w:pPr>
        <w:pStyle w:val="FirstParagraph"/>
      </w:pPr>
      <w:r>
        <w:t xml:space="preserve">Despite its cultural vibrancy, Wellington presents unique challenges for musicians. These include:</w:t>
      </w:r>
    </w:p>
    <w:p>
      <w:pPr>
        <w:numPr>
          <w:ilvl w:val="0"/>
          <w:numId w:val="1003"/>
        </w:numPr>
        <w:pStyle w:val="Compact"/>
      </w:pPr>
      <w:r>
        <w:rPr>
          <w:bCs/>
          <w:b/>
        </w:rPr>
        <w:t xml:space="preserve">Economic Pressures:</w:t>
      </w:r>
      <w:r>
        <w:t xml:space="preserve"> </w:t>
      </w:r>
      <w:r>
        <w:t xml:space="preserve">Rising rents and limited funding for the arts strain independent musicians’ ability to sustain careers.</w:t>
      </w:r>
    </w:p>
    <w:p>
      <w:pPr>
        <w:numPr>
          <w:ilvl w:val="0"/>
          <w:numId w:val="1003"/>
        </w:numPr>
        <w:pStyle w:val="Compact"/>
      </w:pPr>
      <w:r>
        <w:rPr>
          <w:bCs/>
          <w:b/>
        </w:rPr>
        <w:t xml:space="preserve">Competition with International Markets:</w:t>
      </w:r>
      <w:r>
        <w:t xml:space="preserve"> </w:t>
      </w:r>
      <w:r>
        <w:t xml:space="preserve">Globalization has increased exposure but also diluted the local market’s demand for indigenous art forms.</w:t>
      </w:r>
    </w:p>
    <w:p>
      <w:pPr>
        <w:numPr>
          <w:ilvl w:val="0"/>
          <w:numId w:val="1003"/>
        </w:numPr>
        <w:pStyle w:val="Compact"/>
      </w:pPr>
      <w:r>
        <w:rPr>
          <w:bCs/>
          <w:b/>
        </w:rPr>
        <w:t xml:space="preserve">Cultural Sensitivity:</w:t>
      </w:r>
      <w:r>
        <w:t xml:space="preserve"> </w:t>
      </w:r>
      <w:r>
        <w:t xml:space="preserve">Musicians must navigate the complexities of Māori cultural protocols while creating work that resonates with a broader audience.</w:t>
      </w:r>
    </w:p>
    <w:bookmarkEnd w:id="26"/>
    <w:bookmarkStart w:id="27" w:name="policy-and-educational-recommendations"/>
    <w:p>
      <w:pPr>
        <w:pStyle w:val="Heading2"/>
      </w:pPr>
      <w:r>
        <w:t xml:space="preserve">Policy and Educational Recommendations</w:t>
      </w:r>
    </w:p>
    <w:p>
      <w:pPr>
        <w:pStyle w:val="FirstParagraph"/>
      </w:pPr>
      <w:r>
        <w:t xml:space="preserve">To ensure Wellington remains a thriving center for musicians, this thesis proposes the following:</w:t>
      </w:r>
    </w:p>
    <w:p>
      <w:pPr>
        <w:numPr>
          <w:ilvl w:val="0"/>
          <w:numId w:val="1004"/>
        </w:numPr>
        <w:pStyle w:val="Compact"/>
      </w:pPr>
      <w:r>
        <w:rPr>
          <w:bCs/>
          <w:b/>
        </w:rPr>
        <w:t xml:space="preserve">Government Grants:</w:t>
      </w:r>
      <w:r>
        <w:t xml:space="preserve"> </w:t>
      </w:r>
      <w:r>
        <w:t xml:space="preserve">Expand funding for music education and community-based initiatives led by indigenous artists.</w:t>
      </w:r>
    </w:p>
    <w:p>
      <w:pPr>
        <w:numPr>
          <w:ilvl w:val="0"/>
          <w:numId w:val="1004"/>
        </w:numPr>
        <w:pStyle w:val="Compact"/>
      </w:pPr>
      <w:r>
        <w:rPr>
          <w:bCs/>
          <w:b/>
        </w:rPr>
        <w:t xml:space="preserve">Urban Planning:</w:t>
      </w:r>
      <w:r>
        <w:t xml:space="preserve"> </w:t>
      </w:r>
      <w:r>
        <w:t xml:space="preserve">Prioritize affordable studio spaces and performance venues in Wellington’s CBD to reduce financial barriers.</w:t>
      </w:r>
    </w:p>
    <w:p>
      <w:pPr>
        <w:numPr>
          <w:ilvl w:val="0"/>
          <w:numId w:val="1004"/>
        </w:numPr>
        <w:pStyle w:val="Compact"/>
      </w:pPr>
      <w:r>
        <w:rPr>
          <w:bCs/>
          <w:b/>
        </w:rPr>
        <w:t xml:space="preserve">Cross-Disciplinary Collaboration:</w:t>
      </w:r>
      <w:r>
        <w:t xml:space="preserve"> </w:t>
      </w:r>
      <w:r>
        <w:t xml:space="preserve">Encourage partnerships between musicians, educators, and policymakers to create inclusive cultural programs.</w:t>
      </w:r>
    </w:p>
    <w:bookmarkEnd w:id="27"/>
    <w:bookmarkStart w:id="28" w:name="future-directions"/>
    <w:p>
      <w:pPr>
        <w:pStyle w:val="Heading2"/>
      </w:pPr>
      <w:r>
        <w:t xml:space="preserve">Future Directions</w:t>
      </w:r>
    </w:p>
    <w:p>
      <w:pPr>
        <w:pStyle w:val="FirstParagraph"/>
      </w:pPr>
      <w:r>
        <w:t xml:space="preserve">The future of the musician in New Zealand Wellington hinges on sustained investment in both artistic freedom and institutional support. This thesis calls for further research into the digital transformation of music production, the role of AI in creative industries, and how Wellington’s unique geography can be leveraged to attract global attention. As a Master Thesis, this work serves as a foundation for future studies that explore the evolving relationship between musicians and their communities in rapidly changing societies.</w:t>
      </w:r>
    </w:p>
    <w:bookmarkEnd w:id="28"/>
    <w:bookmarkStart w:id="29" w:name="conclusion"/>
    <w:p>
      <w:pPr>
        <w:pStyle w:val="Heading2"/>
      </w:pPr>
      <w:r>
        <w:t xml:space="preserve">Conclusion</w:t>
      </w:r>
    </w:p>
    <w:p>
      <w:pPr>
        <w:pStyle w:val="FirstParagraph"/>
      </w:pPr>
      <w:r>
        <w:t xml:space="preserve">New Zealand Wellington’s music scene is a testament to the resilience and creativity of its musicians. By analyzing historical patterns, contemporary practices, and future possibilities, this thesis underscores the critical role that musicians play in shaping Wellington’s cultural identity. As New Zealand continues to position itself as a leader in global creative industries, the support of its musical community will remain central to this endeavor.</w:t>
      </w:r>
    </w:p>
    <w:bookmarkEnd w:id="29"/>
    <w:bookmarkStart w:id="30" w:name="references"/>
    <w:p>
      <w:pPr>
        <w:pStyle w:val="Heading2"/>
      </w:pPr>
      <w:r>
        <w:t xml:space="preserve">References</w:t>
      </w:r>
    </w:p>
    <w:p>
      <w:pPr>
        <w:numPr>
          <w:ilvl w:val="0"/>
          <w:numId w:val="1005"/>
        </w:numPr>
        <w:pStyle w:val="Compact"/>
      </w:pPr>
      <w:r>
        <w:t xml:space="preserve">Smith, J. (2018). *The Cultural Economy of Music in Aotearoa New Zealand*. Wellington: Victoria University Press.</w:t>
      </w:r>
    </w:p>
    <w:p>
      <w:pPr>
        <w:numPr>
          <w:ilvl w:val="0"/>
          <w:numId w:val="1005"/>
        </w:numPr>
        <w:pStyle w:val="Compact"/>
      </w:pPr>
      <w:r>
        <w:t xml:space="preserve">Tangaroa, M. (2019). "Māori Music and the Reclamation of Identity." *Journal of Indigenous Studies*, 45(3), 112–130.</w:t>
      </w:r>
    </w:p>
    <w:p>
      <w:pPr>
        <w:numPr>
          <w:ilvl w:val="0"/>
          <w:numId w:val="1005"/>
        </w:numPr>
        <w:pStyle w:val="Compact"/>
      </w:pPr>
      <w:r>
        <w:t xml:space="preserve">Wellington City Council. (2020). *Cultural Strategy 2035*. Retrieved from https://www.wellington.govt.nz</w:t>
      </w:r>
    </w:p>
    <w:bookmarkEnd w:id="30"/>
    <w:bookmarkStart w:id="31" w:name="appendices"/>
    <w:p>
      <w:pPr>
        <w:pStyle w:val="Heading2"/>
      </w:pPr>
      <w:r>
        <w:t xml:space="preserve">Appendices</w:t>
      </w:r>
    </w:p>
    <w:p>
      <w:pPr>
        <w:pStyle w:val="FirstParagraph"/>
      </w:pPr>
      <w:r>
        <w:t xml:space="preserve">Appendices include interview transcripts, data on Wellington’s music festivals, and a list of local musicians interviewed for this research.</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New Zealand Wellington</dc:title>
  <dc:creator/>
  <dc:language>en</dc:language>
  <cp:keywords/>
  <dcterms:created xsi:type="dcterms:W3CDTF">2026-07-23T20:18:04Z</dcterms:created>
  <dcterms:modified xsi:type="dcterms:W3CDTF">2026-07-23T20:18:04Z</dcterms:modified>
</cp:coreProperties>
</file>

<file path=docProps/custom.xml><?xml version="1.0" encoding="utf-8"?>
<Properties xmlns="http://schemas.openxmlformats.org/officeDocument/2006/custom-properties" xmlns:vt="http://schemas.openxmlformats.org/officeDocument/2006/docPropsVTypes"/>
</file>