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81c361cab60147e5496d06d0db024812674e349"/>
    <w:p>
      <w:pPr>
        <w:pStyle w:val="Heading1"/>
      </w:pPr>
      <w:r>
        <w:t xml:space="preserve">Master Thesis: The Role of Ophthalmologists in Australia Melbourne</w:t>
      </w:r>
    </w:p>
    <w:bookmarkStart w:id="20" w:name="abstract"/>
    <w:p>
      <w:pPr>
        <w:pStyle w:val="Heading2"/>
      </w:pPr>
      <w:r>
        <w:t xml:space="preserve">Abstract</w:t>
      </w:r>
    </w:p>
    <w:p>
      <w:pPr>
        <w:pStyle w:val="FirstParagraph"/>
      </w:pPr>
      <w:r>
        <w:t xml:space="preserve">This Master Thesis explores the critical role of ophthalmologists in Australia’s healthcare system, with a specific focus on Melbourne. As one of the largest cities in Australia and a global hub for medical innovation, Melbourne presents unique challenges and opportunities for ophthalmologists. The thesis examines the evolving landscape of eye care services, technological advancements, and public health policies shaping the profession in this region. By analyzing case studies, institutional frameworks, and demographic trends in Melbourne, this research underscores the importance of ophthalmologists in addressing both acute and chronic ocular conditions while contributing to broader healthcare goals.</w:t>
      </w:r>
    </w:p>
    <w:bookmarkEnd w:id="20"/>
    <w:bookmarkStart w:id="21" w:name="introduction"/>
    <w:p>
      <w:pPr>
        <w:pStyle w:val="Heading2"/>
      </w:pPr>
      <w:r>
        <w:t xml:space="preserve">Introduction</w:t>
      </w:r>
    </w:p>
    <w:p>
      <w:pPr>
        <w:pStyle w:val="FirstParagraph"/>
      </w:pPr>
      <w:r>
        <w:t xml:space="preserve">Australia’s healthcare system is a blend of public and private services, with Melbourne serving as a pivotal center for medical research, education, and clinical practice. Ophthalmologists in this region play a vital role in diagnosing and treating eye diseases that affect millions of Australians. As the population ages and lifestyle-related conditions such as diabetes increase, the demand for specialized ophthalmic care has grown significantly. This thesis investigates how ophthalmologists in Melbourne are adapting to these challenges while leveraging technological innovations to improve patient outcomes.</w:t>
      </w:r>
    </w:p>
    <w:bookmarkEnd w:id="21"/>
    <w:bookmarkStart w:id="22" w:name="literature-review"/>
    <w:p>
      <w:pPr>
        <w:pStyle w:val="Heading2"/>
      </w:pPr>
      <w:r>
        <w:t xml:space="preserve">Literature Review</w:t>
      </w:r>
    </w:p>
    <w:p>
      <w:pPr>
        <w:pStyle w:val="FirstParagraph"/>
      </w:pPr>
      <w:r>
        <w:t xml:space="preserve">Existing literature highlights the critical contributions of ophthalmologists in managing conditions such as cataracts, glaucoma, and age-related macular degeneration (AMD). In Australia, studies have shown that early intervention by ophthalmologists can reduce blindness rates by up to 30% (Australian Institute of Health and Welfare, 2023). Melbourne’s proximity to research institutions like the University of Melbourne and hospitals such as the Royal Victorian Eye and Ear Hospital has positioned it as a leader in ophthalmic innovation. However, disparities in access to care between urban and rural areas persist, raising questions about resource allocation.</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institutional reports with case studies of Melbourne-based ophthalmologists. Data was collected from public health databases, medical journals, and interviews with professionals in the field. The focus on Melbourne allows for a localized perspective that reflects both the strengths and challenges unique to this city.</w:t>
      </w:r>
    </w:p>
    <w:bookmarkEnd w:id="23"/>
    <w:bookmarkStart w:id="24" w:name="case-study-ophthalmic-care-in-melbourne"/>
    <w:p>
      <w:pPr>
        <w:pStyle w:val="Heading2"/>
      </w:pPr>
      <w:r>
        <w:t xml:space="preserve">Case Study: Ophthalmic Care in Melbourne</w:t>
      </w:r>
    </w:p>
    <w:p>
      <w:pPr>
        <w:pStyle w:val="FirstParagraph"/>
      </w:pPr>
      <w:r>
        <w:t xml:space="preserve">Melbourne’s healthcare system is characterized by a high concentration of specialized services. For instance, the Royal Victorian Eye and Ear Hospital (RVEEH) is one of the world’s largest eye and ear hospitals, treating over 100,000 patients annually. Ophthalmologists at RVEEH utilize advanced technologies such as intraoperative optical coherence tomography (iOCT) to enhance surgical precision in cataract procedures. Additionally, Melbourne’s private sector offers cutting-edge treatments like refractive surgery for myopia and laser therapies for diabetic retinopathy.</w:t>
      </w:r>
    </w:p>
    <w:bookmarkEnd w:id="24"/>
    <w:bookmarkStart w:id="25" w:name="Xf9ba22c7d8f0d033283c7dd9bc4d81c6faebee6"/>
    <w:p>
      <w:pPr>
        <w:pStyle w:val="Heading2"/>
      </w:pPr>
      <w:r>
        <w:t xml:space="preserve">Challenges Faced by Ophthalmologists in Australia Melbourne</w:t>
      </w:r>
    </w:p>
    <w:p>
      <w:pPr>
        <w:pStyle w:val="FirstParagraph"/>
      </w:pPr>
      <w:r>
        <w:t xml:space="preserve">Despite advancements, ophthalmologists in Melbourne face challenges including workforce shortages, rising patient demand, and the need to integrate new technologies into clinical practice. The aging population has led to a surge in age-related eye diseases, requiring innovative approaches to long-term care management. Furthermore, the cost of advanced diagnostic equipment and training for emerging procedures pose financial constraints for both public and private institutions.</w:t>
      </w:r>
    </w:p>
    <w:bookmarkEnd w:id="25"/>
    <w:bookmarkStart w:id="26" w:name="X2bfc35ba5950902600f1d3a3f112e77678dab69"/>
    <w:p>
      <w:pPr>
        <w:pStyle w:val="Heading2"/>
      </w:pPr>
      <w:r>
        <w:t xml:space="preserve">Technological Innovations in Ophthalmology</w:t>
      </w:r>
    </w:p>
    <w:p>
      <w:pPr>
        <w:pStyle w:val="FirstParagraph"/>
      </w:pPr>
      <w:r>
        <w:t xml:space="preserve">Melbourne has been at the forefront of adopting AI-driven diagnostic tools and telemedicine platforms. For example, AI algorithms trained on large datasets from Melbourne’s hospitals can now detect diabetic retinopathy with over 95% accuracy, enabling early interventions. Telemedicine has also expanded access to ophthalmic care for rural communities, with virtual consultations and remote monitoring systems becoming standard practices.</w:t>
      </w:r>
    </w:p>
    <w:bookmarkEnd w:id="26"/>
    <w:bookmarkStart w:id="27" w:name="public-health-policies-and-ophthalmology"/>
    <w:p>
      <w:pPr>
        <w:pStyle w:val="Heading2"/>
      </w:pPr>
      <w:r>
        <w:t xml:space="preserve">Public Health Policies and Ophthalmology</w:t>
      </w:r>
    </w:p>
    <w:p>
      <w:pPr>
        <w:pStyle w:val="FirstParagraph"/>
      </w:pPr>
      <w:r>
        <w:t xml:space="preserve">The Australian government’s National Eye Health Strategy emphasizes the role of ophthalmologists in preventing avoidable blindness. In Melbourne, this has translated into initiatives such as free eye screenings for elderly patients and partnerships between hospitals and community health centers. However, critics argue that funding allocation remains uneven, with rural areas receiving less attention despite higher prevalence rates of certain eye conditions.</w:t>
      </w:r>
    </w:p>
    <w:bookmarkEnd w:id="27"/>
    <w:bookmarkStart w:id="28" w:name="conclusion"/>
    <w:p>
      <w:pPr>
        <w:pStyle w:val="Heading2"/>
      </w:pPr>
      <w:r>
        <w:t xml:space="preserve">Conclusion</w:t>
      </w:r>
    </w:p>
    <w:p>
      <w:pPr>
        <w:pStyle w:val="FirstParagraph"/>
      </w:pPr>
      <w:r>
        <w:t xml:space="preserve">This Master Thesis highlights the indispensable role of ophthalmologists in Australia Melbourne, where they navigate complex healthcare dynamics to deliver life-changing treatments. The integration of technology, public health policies, and specialized training programs underscores their adaptability in a rapidly evolving field. As Melbourne continues to grow as a medical innovation hub, the contributions of ophthalmologists will remain central to ensuring equitable and high-quality eye care for all Australians.</w:t>
      </w:r>
    </w:p>
    <w:bookmarkEnd w:id="28"/>
    <w:bookmarkStart w:id="29" w:name="references"/>
    <w:p>
      <w:pPr>
        <w:pStyle w:val="Heading2"/>
      </w:pPr>
      <w:r>
        <w:t xml:space="preserve">References</w:t>
      </w:r>
    </w:p>
    <w:p>
      <w:pPr>
        <w:pStyle w:val="FirstParagraph"/>
      </w:pPr>
      <w:r>
        <w:t xml:space="preserve">Australian Institute of Health and Welfare. (2023). *Eye Conditions in Australia*. Retrieved from [https://www.aihw.gov.au](https://www.aihw.gov.au).</w:t>
      </w:r>
      <w:r>
        <w:br/>
      </w:r>
      <w:r>
        <w:t xml:space="preserve">Royal Victorian Eye and Ear Hospital. (n.d.). *Our Services*. Retrieved from [https://www.rveeh.org.au](https://www.rveeh.org.au).</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Australia Melbourne</dc:title>
  <dc:creator/>
  <dc:language>en</dc:language>
  <cp:keywords/>
  <dcterms:created xsi:type="dcterms:W3CDTF">2026-07-19T20:00:54Z</dcterms:created>
  <dcterms:modified xsi:type="dcterms:W3CDTF">2026-07-19T20:00:54Z</dcterms:modified>
</cp:coreProperties>
</file>

<file path=docProps/custom.xml><?xml version="1.0" encoding="utf-8"?>
<Properties xmlns="http://schemas.openxmlformats.org/officeDocument/2006/custom-properties" xmlns:vt="http://schemas.openxmlformats.org/officeDocument/2006/docPropsVTypes"/>
</file>