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5f292406ac5a95164ea245ad8efcd8cf92b3c6f"/>
    <w:p>
      <w:pPr>
        <w:pStyle w:val="Heading1"/>
      </w:pPr>
      <w:r>
        <w:t xml:space="preserve">Master Thesis: The Role of Ophthalmologists in Colombia Bogotá</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Colombia Bogotá, a city with a rapidly growing population and increasing prevalence of ocular diseases. The study analyzes the current landscape of ophthalmological services, challenges faced by practitioners, and opportunities for innovation in healthcare delivery. By integrating data from local clinics, academic institutions, and public health reports, this thesis provides insights into how ophthalmologists can optimize their contributions to Bogotá's healthcare system while aligning with national health policies. The findings underscore the importance of specialized training programs and technological advancements in improving patient outcomes.</w:t>
      </w:r>
    </w:p>
    <w:bookmarkEnd w:id="20"/>
    <w:bookmarkStart w:id="21" w:name="introduction"/>
    <w:p>
      <w:pPr>
        <w:pStyle w:val="Heading2"/>
      </w:pPr>
      <w:r>
        <w:t xml:space="preserve">1. Introduction</w:t>
      </w:r>
    </w:p>
    <w:p>
      <w:pPr>
        <w:pStyle w:val="FirstParagraph"/>
      </w:pPr>
      <w:r>
        <w:t xml:space="preserve">Colombia Bogotá, as the capital city and a major urban hub, faces unique challenges in delivering equitable healthcare services. Among these, ophthalmology stands out due to the rising incidence of conditions such as diabetic retinopathy, glaucoma, and refractive errors. Ophthalmologists play a pivotal role in diagnosing and treating these conditions, yet their capacity is often strained by resource limitations and disparities in access to care.</w:t>
      </w:r>
    </w:p>
    <w:p>
      <w:pPr>
        <w:pStyle w:val="BodyText"/>
      </w:pPr>
      <w:r>
        <w:t xml:space="preserve">This Master Thesis investigates the multifaceted responsibilities of ophthalmologists in Bogotá, including clinical practice, research, and public health advocacy. It also examines how the city's infrastructure—such as its network of hospitals like Hospital Universitario de San José and academic institutions like Universidad Nacional de Colombia—supports or hinders their work. The study is grounded in the broader goal of improving visual health outcomes across Colombia through localized solutions.</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provide a comprehensive analysis of ophthalmological practices in Colombia Bogotá. Primary data was collected through interviews with 15 ophthalmologists practicing in both public and private sectors, while secondary data included reports from the Colombian Ministry of Health and academic publications on ocular health trends.</w:t>
      </w:r>
    </w:p>
    <w:p>
      <w:pPr>
        <w:pStyle w:val="BodyText"/>
      </w:pPr>
      <w:r>
        <w:t xml:space="preserve">A case study approach was employed to evaluate the impact of recent initiatives, such as mobile eye clinics in underserved neighborhoods. Additionally, statistical analysis was conducted using Bogotá’s public health databases to identify correlations between socioeconomic factors and access to ophthalmological care. This mixed-methods design ensures a nuanced understanding of the challenges and opportunities within the field.</w:t>
      </w:r>
    </w:p>
    <w:bookmarkEnd w:id="22"/>
    <w:bookmarkStart w:id="23" w:name="Xe9858fc694246dba3809e243e4a64ba85964aba"/>
    <w:p>
      <w:pPr>
        <w:pStyle w:val="Heading2"/>
      </w:pPr>
      <w:r>
        <w:t xml:space="preserve">3. Current Challenges for Ophthalmologists in Colombia Bogotá</w:t>
      </w:r>
    </w:p>
    <w:p>
      <w:pPr>
        <w:pStyle w:val="FirstParagraph"/>
      </w:pPr>
      <w:r>
        <w:t xml:space="preserve">Ophthalmologists in Bogotá face several barriers, including long waiting lists, limited access to advanced diagnostic equipment, and uneven distribution of specialists across districts. Public hospitals often experience overcrowding due to high patient demand and insufficient funding for infrastructure upgrades. Furthermore, rural areas within the Bogotá Department lack adequate eye care facilities, forcing patients to travel long distances for treatment.</w:t>
      </w:r>
    </w:p>
    <w:p>
      <w:pPr>
        <w:pStyle w:val="BodyText"/>
      </w:pPr>
      <w:r>
        <w:t xml:space="preserve">Another challenge is the growing prevalence of chronic diseases like diabetes, which increases the risk of complications such as diabetic retinopathy. This places additional pressure on ophthalmologists to provide early detection and intervention services. The thesis also highlights how cultural factors—such as stigma surrounding eye diseases in certain communities—can delay diagnosis and treatment.</w:t>
      </w:r>
    </w:p>
    <w:bookmarkEnd w:id="23"/>
    <w:bookmarkStart w:id="24" w:name="Xe733a09a662ab6d2c0c7338a14a8524364ba633"/>
    <w:p>
      <w:pPr>
        <w:pStyle w:val="Heading2"/>
      </w:pPr>
      <w:r>
        <w:t xml:space="preserve">4. Opportunities for Innovation and Collaboration</w:t>
      </w:r>
    </w:p>
    <w:p>
      <w:pPr>
        <w:pStyle w:val="FirstParagraph"/>
      </w:pPr>
      <w:r>
        <w:t xml:space="preserve">Despite these challenges, Colombia Bogotá offers significant opportunities for innovation in ophthalmology. Telemedicine has emerged as a viable solution to bridge gaps in access, with pilot programs successfully connecting patients in remote areas with specialists via virtual consultations. Partnerships between academic institutions and private clinics have also led to the development of training programs that emphasize both clinical skills and community engagement.</w:t>
      </w:r>
    </w:p>
    <w:p>
      <w:pPr>
        <w:pStyle w:val="BodyText"/>
      </w:pPr>
      <w:r>
        <w:t xml:space="preserve">The thesis emphasizes the importance of integrating technology, such as AI-powered diagnostic tools for retinal imaging, into daily practice. Additionally, it proposes strengthening public-private partnerships to fund research initiatives focused on ocular health. These strategies could position Bogotá as a regional leader in ophthalmological care and set a precedent for other Colombian cities.</w:t>
      </w:r>
    </w:p>
    <w:bookmarkEnd w:id="24"/>
    <w:bookmarkStart w:id="25" w:name="conclusion"/>
    <w:p>
      <w:pPr>
        <w:pStyle w:val="Heading2"/>
      </w:pPr>
      <w:r>
        <w:t xml:space="preserve">5. Conclusion</w:t>
      </w:r>
    </w:p>
    <w:p>
      <w:pPr>
        <w:pStyle w:val="FirstParagraph"/>
      </w:pPr>
      <w:r>
        <w:t xml:space="preserve">The findings of this Master Thesis underscore the indispensable role of ophthalmologists in Colombia Bogotá’s healthcare ecosystem. By addressing systemic challenges through innovation, collaboration, and policy advocacy, they can significantly improve visual health outcomes for Bogotá’s residents. The study also highlights the need for continued investment in education and technology to ensure that ophthalmological care remains accessible and equitable.</w:t>
      </w:r>
    </w:p>
    <w:p>
      <w:pPr>
        <w:pStyle w:val="BodyText"/>
      </w:pPr>
      <w:r>
        <w:t xml:space="preserve">As Colombia continues to prioritize universal healthcare access, the insights gained from this research will inform future strategies aimed at strengthening ophthalmological services in urban centers like Bogotá. This work not only contributes to academic discourse but also serves as a practical guide for stakeholders committed to advancing eye care in Latin America.</w:t>
      </w:r>
    </w:p>
    <w:bookmarkEnd w:id="25"/>
    <w:bookmarkStart w:id="26" w:name="references"/>
    <w:p>
      <w:pPr>
        <w:pStyle w:val="Heading2"/>
      </w:pPr>
      <w:r>
        <w:t xml:space="preserve">References</w:t>
      </w:r>
    </w:p>
    <w:p>
      <w:pPr>
        <w:numPr>
          <w:ilvl w:val="0"/>
          <w:numId w:val="1001"/>
        </w:numPr>
        <w:pStyle w:val="Compact"/>
      </w:pPr>
      <w:r>
        <w:t xml:space="preserve">Ministerio de Salud de Colombia. (2023). *Informe Nacional sobre Salud Visual.*</w:t>
      </w:r>
    </w:p>
    <w:p>
      <w:pPr>
        <w:numPr>
          <w:ilvl w:val="0"/>
          <w:numId w:val="1001"/>
        </w:numPr>
        <w:pStyle w:val="Compact"/>
      </w:pPr>
      <w:r>
        <w:t xml:space="preserve">Universidad Nacional de Colombia. (2021). *Estudio sobre Desigualdades en el Acceso a la Salud Oftalmológica.*</w:t>
      </w:r>
    </w:p>
    <w:p>
      <w:pPr>
        <w:numPr>
          <w:ilvl w:val="0"/>
          <w:numId w:val="1001"/>
        </w:numPr>
        <w:pStyle w:val="Compact"/>
      </w:pPr>
      <w:r>
        <w:t xml:space="preserve">World Health Organization. (2020). *Global Report on Vision 2019-2035.*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Colombia Bogotá</dc:title>
  <dc:creator/>
  <dc:language>en</dc:language>
  <cp:keywords/>
  <dcterms:created xsi:type="dcterms:W3CDTF">2026-07-21T09:51:18Z</dcterms:created>
  <dcterms:modified xsi:type="dcterms:W3CDTF">2026-07-21T09:51:18Z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