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8272116ebd8daabafd72dfd0230bc71db0b4c17"/>
    <w:p>
      <w:pPr>
        <w:pStyle w:val="Heading1"/>
      </w:pPr>
      <w:r>
        <w:t xml:space="preserve">Master Thesis: The Role of Ophthalmologists in Colombia Medellín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Colombia's Medellín. As a city with a growing population and diverse socio-economic dynamics, Medellín presents unique opportunities and challenges for ophthalmic care. The study examines the current healthcare infrastructure, access to specialized services, and the educational programs that shape ophthalmologists in this region. By analyzing data from local hospitals, academic institutions, and public health initiatives, this thesis highlights strategies to enhance eye care accessibility and quality in Medellín.</w:t>
      </w:r>
    </w:p>
    <w:bookmarkEnd w:id="20"/>
    <w:bookmarkStart w:id="21" w:name="introduction"/>
    <w:p>
      <w:pPr>
        <w:pStyle w:val="Heading2"/>
      </w:pPr>
      <w:r>
        <w:t xml:space="preserve">Introduction</w:t>
      </w:r>
    </w:p>
    <w:p>
      <w:pPr>
        <w:pStyle w:val="FirstParagraph"/>
      </w:pPr>
      <w:r>
        <w:t xml:space="preserve">Colombia Medellín, a vibrant city in the Antioquia department of Colombia, serves as a hub for medical innovation and education. However, visual health remains a significant public health concern due to factors such as aging populations, increased screen time, and socio-economic disparities. Ophthalmologists play an indispensable role in diagnosing and treating conditions like cataracts, glaucoma, diabetic retinopathy, and refractive errors. This thesis investigates how the ophthalmological community in Medellín contributes to addressing these challenges while aligning with national health policies.</w:t>
      </w:r>
    </w:p>
    <w:bookmarkEnd w:id="21"/>
    <w:bookmarkStart w:id="22" w:name="literature-review"/>
    <w:p>
      <w:pPr>
        <w:pStyle w:val="Heading2"/>
      </w:pPr>
      <w:r>
        <w:t xml:space="preserve">Literature Review</w:t>
      </w:r>
    </w:p>
    <w:p>
      <w:pPr>
        <w:pStyle w:val="FirstParagraph"/>
      </w:pPr>
      <w:r>
        <w:t xml:space="preserve">Global studies emphasize that access to ophthalmic care is a critical determinant of public health outcomes. In Latin America, including Colombia, disparities in healthcare access persist between urban and rural areas. Medellín’s urban density and medical infrastructure provide a unique case study for understanding how specialized professionals like ophthalmologists can bridge these gaps.</w:t>
      </w:r>
    </w:p>
    <w:p>
      <w:pPr>
        <w:pStyle w:val="BodyText"/>
      </w:pPr>
      <w:r>
        <w:t xml:space="preserve">Research on Colombia's healthcare system reveals that while the country has made strides in expanding insurance coverage through programs like Subsidio de Salud, regional disparities still affect service delivery. Medellín’s medical universities, such as the Universidad de Antioquia, are pivotal in training ophthalmologists who integrate evidence-based practices with cultural competence.</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ophthalmic care in Medellín. Primary data was collected through semi-structured interviews with 15 ophthalmologists practicing in public and private clinics across the city. Secondary data included reports from the Secretaría de Salud de Antioquia, academic publications, and statistical records on visual health trends.</w:t>
      </w:r>
    </w:p>
    <w:p>
      <w:pPr>
        <w:pStyle w:val="BodyText"/>
      </w:pPr>
      <w:r>
        <w:t xml:space="preserve">The analysis focused on three key areas: (1) the availability of ophthalmological services in Medellín’s healthcare network, (2) challenges faced by ophthalmologists in delivering care to underserved communities, and (3) the role of academic institutions in advancing clinical research and training.</w:t>
      </w:r>
    </w:p>
    <w:bookmarkEnd w:id="23"/>
    <w:bookmarkStart w:id="24" w:name="results"/>
    <w:p>
      <w:pPr>
        <w:pStyle w:val="Heading2"/>
      </w:pPr>
      <w:r>
        <w:t xml:space="preserve">Results</w:t>
      </w:r>
    </w:p>
    <w:p>
      <w:pPr>
        <w:pStyle w:val="FirstParagraph"/>
      </w:pPr>
      <w:r>
        <w:t xml:space="preserve">The findings indicate that Medellín has a robust network of ophthalmological services, with over 80% of clinics offering diagnostic and treatment options for common eye conditions. However, access to specialized care remains uneven in peripheral neighborhoods, where long wait times and limited equipment hinder timely interventions.</w:t>
      </w:r>
    </w:p>
    <w:p>
      <w:pPr>
        <w:pStyle w:val="BodyText"/>
      </w:pPr>
      <w:r>
        <w:t xml:space="preserve">Interviews revealed that ophthalmologists often collaborate with primary healthcare providers to address preventable blindness. For instance, mobile clinics organized by the Universidad de Antioquia have successfully reached rural areas of Medellín’s surrounding regions, providing free screenings for diabetic retinopathy and cataracts.</w:t>
      </w:r>
    </w:p>
    <w:p>
      <w:pPr>
        <w:pStyle w:val="BodyText"/>
      </w:pPr>
      <w:r>
        <w:t xml:space="preserve">Additionally, data from 2023 highlighted that 18% of Medellín’s population reported uncorrected refractive errors, underscoring the need for more optometrists and community-based outreach programs. Ophthalmologists in the city are increasingly adopting telemedicine to expand reach and reduce barriers to care.</w:t>
      </w:r>
    </w:p>
    <w:bookmarkEnd w:id="24"/>
    <w:bookmarkStart w:id="25" w:name="discussion"/>
    <w:p>
      <w:pPr>
        <w:pStyle w:val="Heading2"/>
      </w:pPr>
      <w:r>
        <w:t xml:space="preserve">Discussion</w:t>
      </w:r>
    </w:p>
    <w:p>
      <w:pPr>
        <w:pStyle w:val="FirstParagraph"/>
      </w:pPr>
      <w:r>
        <w:t xml:space="preserve">The results underscore the vital role of ophthalmologists in Medellín’s public health framework. Their expertise not only addresses individual patient needs but also contributes to broader initiatives such as Colombia’s National Visual Health Plan. However, challenges like resource allocation and workforce distribution require systemic solutions.</w:t>
      </w:r>
    </w:p>
    <w:p>
      <w:pPr>
        <w:pStyle w:val="BodyText"/>
      </w:pPr>
      <w:r>
        <w:t xml:space="preserve">One notable finding is the growing emphasis on preventive care. Ophthalmologists in Medellín are integrating educational campaigns into their practice, promoting early detection of conditions like glaucoma through community workshops and school programs. This proactive approach aligns with global trends advocating for primary prevention in ophthalmology.</w:t>
      </w:r>
    </w:p>
    <w:p>
      <w:pPr>
        <w:pStyle w:val="BodyText"/>
      </w:pPr>
      <w:r>
        <w:t xml:space="preserve">Furthermore, academic institutions are fostering innovation by incorporating cutting-edge technologies into training modules. For example, the Universidad de Antioquia has partnered with tech firms to develop AI tools for diagnosing retinal diseases, positioning Medellín as a leader in medical technology integration.</w:t>
      </w:r>
    </w:p>
    <w:bookmarkEnd w:id="25"/>
    <w:bookmarkStart w:id="26" w:name="conclusion"/>
    <w:p>
      <w:pPr>
        <w:pStyle w:val="Heading2"/>
      </w:pPr>
      <w:r>
        <w:t xml:space="preserve">Conclusion</w:t>
      </w:r>
    </w:p>
    <w:p>
      <w:pPr>
        <w:pStyle w:val="FirstParagraph"/>
      </w:pPr>
      <w:r>
        <w:t xml:space="preserve">This Master Thesis demonstrates that ophthalmologists in Colombia Medellín are pivotal in addressing both acute and chronic visual health challenges. Through their work in clinical practice, research, and community engagement, they contribute to improving quality of life while setting a precedent for other regions in Latin America. To sustain progress, stakeholders must prioritize equitable resource distribution, interdisciplinary collaboration, and the continuous education of healthcare professionals.</w:t>
      </w:r>
    </w:p>
    <w:p>
      <w:pPr>
        <w:pStyle w:val="BodyText"/>
      </w:pPr>
      <w:r>
        <w:t xml:space="preserve">The study concludes with recommendations for policymakers: expanding public-private partnerships to enhance service accessibility, investing in rural infrastructure for ophthalmological care, and reinforcing academic programs that emphasize both clinical excellence and social responsibility. By doing so, Colombia Medellín can solidify its reputation as a regional leader in eye health.</w:t>
      </w:r>
    </w:p>
    <w:bookmarkEnd w:id="26"/>
    <w:bookmarkStart w:id="27" w:name="references"/>
    <w:p>
      <w:pPr>
        <w:pStyle w:val="Heading2"/>
      </w:pPr>
      <w:r>
        <w:t xml:space="preserve">References</w:t>
      </w:r>
    </w:p>
    <w:p>
      <w:pPr>
        <w:numPr>
          <w:ilvl w:val="0"/>
          <w:numId w:val="1001"/>
        </w:numPr>
        <w:pStyle w:val="Compact"/>
      </w:pPr>
      <w:r>
        <w:t xml:space="preserve">Secretaría de Salud de Antioquia. (2023). Annual Report on Public Health Trends in Antioquia.</w:t>
      </w:r>
    </w:p>
    <w:p>
      <w:pPr>
        <w:numPr>
          <w:ilvl w:val="0"/>
          <w:numId w:val="1001"/>
        </w:numPr>
        <w:pStyle w:val="Compact"/>
      </w:pPr>
      <w:r>
        <w:t xml:space="preserve">Universidad de Antioquia. (2024). Innovation in Medical Education: A Case Study of Ophthalmology.</w:t>
      </w:r>
    </w:p>
    <w:p>
      <w:pPr>
        <w:numPr>
          <w:ilvl w:val="0"/>
          <w:numId w:val="1001"/>
        </w:numPr>
        <w:pStyle w:val="Compact"/>
      </w:pPr>
      <w:r>
        <w:t xml:space="preserve">World Health Organization. (2021). Global Vision 2030: Strategies for Reducing Visual Impairment.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Colombia Medellín</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