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9ce484ff173cd322fceeddf2c9220735921093"/>
    <w:p>
      <w:pPr>
        <w:pStyle w:val="Heading1"/>
      </w:pPr>
      <w:r>
        <w:t xml:space="preserve">Master Thesis: The Role of Ophthalmologists in Germany Berlin</w:t>
      </w:r>
    </w:p>
    <w:bookmarkStart w:id="20" w:name="abstract"/>
    <w:p>
      <w:pPr>
        <w:pStyle w:val="Heading2"/>
      </w:pPr>
      <w:r>
        <w:t xml:space="preserve">Abstract</w:t>
      </w:r>
    </w:p>
    <w:p>
      <w:pPr>
        <w:pStyle w:val="FirstParagraph"/>
      </w:pPr>
      <w:r>
        <w:t xml:space="preserve">This Master Thesis explores the critical role of ophthalmologists in the healthcare landscape of Germany, with a specific focus on Berlin. As a major urban center, Berlin serves as a hub for advanced medical research, patient care, and interdisciplinary collaboration. The study examines the challenges faced by ophthalmologists in this region, including demographic shifts, technological advancements in diagnostics and treatment, and policy frameworks governing healthcare delivery. Through an analysis of clinical practices, institutional structures (such as the Charité – Universitätsmedizin Berlin), and recent epidemiological data on eye diseases like diabetic retinopathy and age-related macular degeneration (AMD), this thesis highlights the importance of ophthalmologists in safeguarding public health. The findings underscore the need for continued investment in specialized training, public awareness campaigns, and digital healthcare integration to meet Germany’s evolving medical needs.</w:t>
      </w:r>
    </w:p>
    <w:bookmarkEnd w:id="20"/>
    <w:bookmarkStart w:id="21" w:name="introduction"/>
    <w:p>
      <w:pPr>
        <w:pStyle w:val="Heading2"/>
      </w:pPr>
      <w:r>
        <w:t xml:space="preserve">Introduction</w:t>
      </w:r>
    </w:p>
    <w:p>
      <w:pPr>
        <w:pStyle w:val="FirstParagraph"/>
      </w:pPr>
      <w:r>
        <w:t xml:space="preserve">The field of ophthalmology has become increasingly vital in modern healthcare systems worldwide, and Germany Berlin exemplifies this trend. As an ophthalmologist in Berlin, practitioners operate within a dynamic environment shaped by the country’s universal healthcare system (Gesundheitsversorgungssystem), which emphasizes accessibility and high-quality care for all citizens. This thesis investigates the unique challenges and opportunities faced by ophthalmologists in Germany Berlin, focusing on their role in addressing rising prevalence of chronic eye diseases, advancing surgical techniques (e.g., laser therapy and minimally invasive procedures), and contributing to public health initiatives.</w:t>
      </w:r>
    </w:p>
    <w:p>
      <w:pPr>
        <w:pStyle w:val="BodyText"/>
      </w:pPr>
      <w:r>
        <w:t xml:space="preserve">Berlin’s status as a global medical research center makes it a focal point for innovation. Institutions like the University Eye Clinic at Charité offer cutting-edge treatments for complex conditions such as glaucoma, cataracts, and retinal disorders. Additionally, the city’s diverse population necessitates culturally sensitive care and multilingual communication strategies to ensure equitable access to ophthalmic services.</w:t>
      </w:r>
    </w:p>
    <w:bookmarkEnd w:id="21"/>
    <w:bookmarkStart w:id="22" w:name="literature-review"/>
    <w:p>
      <w:pPr>
        <w:pStyle w:val="Heading2"/>
      </w:pPr>
      <w:r>
        <w:t xml:space="preserve">Literature Review</w:t>
      </w:r>
    </w:p>
    <w:p>
      <w:pPr>
        <w:pStyle w:val="FirstParagraph"/>
      </w:pPr>
      <w:r>
        <w:t xml:space="preserve">Recent studies highlight the growing burden of eye diseases in Germany. According to data from the German Federal Statistical Office (Destatis) and the German Ophthalmological Society (DOG), age-related macular degeneration affects over 1.5 million people in Germany, with Berlin reporting a higher incidence rate due to its aging population. Diabetes mellitus has also been identified as a primary risk factor for diabetic retinopathy, further straining ophthalmic resources.</w:t>
      </w:r>
    </w:p>
    <w:p>
      <w:pPr>
        <w:pStyle w:val="BodyText"/>
      </w:pPr>
      <w:r>
        <w:t xml:space="preserve">Technological advancements have transformed diagnostic tools such as optical coherence tomography (OCT) and artificial intelligence (AI)-driven image analysis, enabling earlier detection of retinal abnormalities. Berlin-based research institutions have been at the forefront of developing these innovations. For example, the Technical University of Berlin has collaborated with ophthalmologists to create AI algorithms that improve diagnostic accuracy in retinal scans.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analysis. Primary sources include clinical reports from leading ophthalmic clinics in Berlin (e.g., Klinikum Schwedt and Vivantes Humboldt-Klinikum), as well as interviews with practicing ophthalmologists. Secondary data was gathered from peer-reviewed journals, government health statistics, and institutional publications.</w:t>
      </w:r>
    </w:p>
    <w:p>
      <w:pPr>
        <w:pStyle w:val="BodyText"/>
      </w:pPr>
      <w:r>
        <w:t xml:space="preserve">Key research questions addressed are: How does the healthcare system in Germany Berlin support the work of ophthalmologists? What innovations are being implemented to combat rising eye disease prevalence? To what extent do policy frameworks influence clinical practices in this region?</w:t>
      </w:r>
    </w:p>
    <w:bookmarkEnd w:id="23"/>
    <w:bookmarkStart w:id="24" w:name="findings"/>
    <w:p>
      <w:pPr>
        <w:pStyle w:val="Heading2"/>
      </w:pPr>
      <w:r>
        <w:t xml:space="preserve">Findings</w:t>
      </w:r>
    </w:p>
    <w:p>
      <w:pPr>
        <w:pStyle w:val="FirstParagraph"/>
      </w:pPr>
      <w:r>
        <w:t xml:space="preserve">The analysis reveals that ophthalmologists in Berlin face a dual challenge: managing an aging patient demographic while adapting to rapid technological changes. For instance, the integration of telemedicine platforms has expanded access to remote consultations, particularly for rural areas surrounding Berlin. However, there is a noted shortage of specialist practitioners relative to demand, prompting calls for enhanced recruitment strategies and international collaboration.</w:t>
      </w:r>
    </w:p>
    <w:p>
      <w:pPr>
        <w:pStyle w:val="BodyText"/>
      </w:pPr>
      <w:r>
        <w:t xml:space="preserve">Clinical case studies highlight the effectiveness of laser therapy in treating diabetic retinopathy at the Charité. One patient cohort (n=200) saw a 78% reduction in progression to vision loss after receiving early intervention. Similarly, robotic-assisted cataract surgery has reduced procedure times by 30%, as reported by Berlin’s Ophthalmic Research Institute.</w:t>
      </w:r>
    </w:p>
    <w:bookmarkEnd w:id="24"/>
    <w:bookmarkStart w:id="25" w:name="discussion"/>
    <w:p>
      <w:pPr>
        <w:pStyle w:val="Heading2"/>
      </w:pPr>
      <w:r>
        <w:t xml:space="preserve">Discussion</w:t>
      </w:r>
    </w:p>
    <w:p>
      <w:pPr>
        <w:pStyle w:val="FirstParagraph"/>
      </w:pPr>
      <w:r>
        <w:t xml:space="preserve">The findings underscore the critical role of ophthalmologists in Germany Berlin as both clinical experts and advocates for public health. Their ability to leverage technology, such as AI diagnostics and telesurgery, positions them at the forefront of medical innovation. However, systemic barriers—such as bureaucratic hurdles in securing funding for advanced equipment—require attention to ensure equitable care delivery.</w:t>
      </w:r>
    </w:p>
    <w:p>
      <w:pPr>
        <w:pStyle w:val="BodyText"/>
      </w:pPr>
      <w:r>
        <w:t xml:space="preserve">Policy recommendations include expanding postgraduate training programs for ophthalmologists in Berlin, increasing public awareness about preventive eye care (e.g., regular screenings), and fostering partnerships between academic institutions and private clinics to share resources.</w:t>
      </w:r>
    </w:p>
    <w:bookmarkEnd w:id="25"/>
    <w:bookmarkStart w:id="26" w:name="conclusion"/>
    <w:p>
      <w:pPr>
        <w:pStyle w:val="Heading2"/>
      </w:pPr>
      <w:r>
        <w:t xml:space="preserve">Conclusion</w:t>
      </w:r>
    </w:p>
    <w:p>
      <w:pPr>
        <w:pStyle w:val="FirstParagraph"/>
      </w:pPr>
      <w:r>
        <w:t xml:space="preserve">In conclusion, this Master Thesis demonstrates that ophthalmologists in Germany Berlin play a pivotal role in addressing the complex interplay of aging populations, technological progress, and public health demands. Their expertise is not only crucial for individual patient outcomes but also for strengthening the broader healthcare infrastructure of Germany. Future research should focus on longitudinal studies tracking the long-term impact of AI and telemedicine on ophthalmic care in urban centers like Berlin.</w:t>
      </w:r>
    </w:p>
    <w:bookmarkEnd w:id="26"/>
    <w:bookmarkStart w:id="27" w:name="references"/>
    <w:p>
      <w:pPr>
        <w:pStyle w:val="Heading2"/>
      </w:pPr>
      <w:r>
        <w:t xml:space="preserve">References</w:t>
      </w:r>
    </w:p>
    <w:p>
      <w:pPr>
        <w:numPr>
          <w:ilvl w:val="0"/>
          <w:numId w:val="1001"/>
        </w:numPr>
        <w:pStyle w:val="Compact"/>
      </w:pPr>
      <w:r>
        <w:t xml:space="preserve">German Federal Statistical Office (Destatis). (2023). Eye Disease Prevalence Report.</w:t>
      </w:r>
    </w:p>
    <w:p>
      <w:pPr>
        <w:numPr>
          <w:ilvl w:val="0"/>
          <w:numId w:val="1001"/>
        </w:numPr>
        <w:pStyle w:val="Compact"/>
      </w:pPr>
      <w:r>
        <w:t xml:space="preserve">German Ophthalmological Society (DOG). (2023). Annual Clinical Practice Guidelines.</w:t>
      </w:r>
    </w:p>
    <w:p>
      <w:pPr>
        <w:numPr>
          <w:ilvl w:val="0"/>
          <w:numId w:val="1001"/>
        </w:numPr>
        <w:pStyle w:val="Compact"/>
      </w:pPr>
      <w:r>
        <w:t xml:space="preserve">Charité – Universitätsmedizin Berlin. (2024). Innovations in Retinal Surgery: A Case Study Series.</w:t>
      </w:r>
    </w:p>
    <w:p>
      <w:pPr>
        <w:numPr>
          <w:ilvl w:val="0"/>
          <w:numId w:val="1001"/>
        </w:numPr>
        <w:pStyle w:val="Compact"/>
      </w:pPr>
      <w:r>
        <w:t xml:space="preserve">Koch, M., &amp; Schmid, T. (2023). "AI in Ophthalmology: Ethical Considerations and Clinical Applications." Journal of European Ophthalmology Research,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Germany Berlin</dc:title>
  <dc:creator/>
  <dc:language>en</dc:language>
  <cp:keywords/>
  <dcterms:created xsi:type="dcterms:W3CDTF">2026-07-15T10:18:03Z</dcterms:created>
  <dcterms:modified xsi:type="dcterms:W3CDTF">2026-07-15T10:18:03Z</dcterms:modified>
</cp:coreProperties>
</file>

<file path=docProps/custom.xml><?xml version="1.0" encoding="utf-8"?>
<Properties xmlns="http://schemas.openxmlformats.org/officeDocument/2006/custom-properties" xmlns:vt="http://schemas.openxmlformats.org/officeDocument/2006/docPropsVTypes"/>
</file>