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Ophthalmologist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04639d3fa2f2901c71fd18aea16ff293efae31c"/>
    <w:p>
      <w:pPr>
        <w:pStyle w:val="Heading1"/>
      </w:pPr>
      <w:r>
        <w:t xml:space="preserve">Master Thesis on the Role and Challenges of Ophthalmologists in Germany Frankfurt</w:t>
      </w:r>
    </w:p>
    <w:bookmarkStart w:id="20" w:name="abstract"/>
    <w:p>
      <w:pPr>
        <w:pStyle w:val="Heading2"/>
      </w:pPr>
      <w:r>
        <w:t xml:space="preserve">Abstract</w:t>
      </w:r>
    </w:p>
    <w:p>
      <w:pPr>
        <w:pStyle w:val="FirstParagraph"/>
      </w:pPr>
      <w:r>
        <w:t xml:space="preserve">This Master Thesis explores the role, responsibilities, and challenges faced by ophthalmologists practicing in Frankfurt, Germany. As a critical component of healthcare in urban centers like Frankfurt, ophthalmologists play a vital role in diagnosing and treating eye-related conditions. The study analyzes the unique healthcare landscape of Germany Frankfurt, emphasizing how local policies, infrastructure, and demographic trends shape the practice of ophthalmology. Through case studies and statistical data from public health records, this thesis evaluates the demand for specialized care in Frankfurt's aging population and highlights potential areas for improvement in medical education and resource allocation.</w:t>
      </w:r>
    </w:p>
    <w:bookmarkEnd w:id="20"/>
    <w:bookmarkStart w:id="21" w:name="introduction"/>
    <w:p>
      <w:pPr>
        <w:pStyle w:val="Heading2"/>
      </w:pPr>
      <w:r>
        <w:t xml:space="preserve">Introduction</w:t>
      </w:r>
    </w:p>
    <w:p>
      <w:pPr>
        <w:pStyle w:val="FirstParagraph"/>
      </w:pPr>
      <w:r>
        <w:t xml:space="preserve">The field of ophthalmology is undergoing rapid transformation globally, driven by technological advancements, demographic shifts, and evolving healthcare policies. In Germany Frankfurt—a major economic hub with a population exceeding 750,000—the demand for ophthalmic services has grown significantly due to aging demographics and increasing prevalence of conditions like diabetic retinopathy and age-related macular degeneration (AMD). This Master Thesis aims to investigate the intersection of these trends with the work environment, training requirements, and ethical considerations faced by ophthalmologists in Frankfurt. The study underscores the importance of aligning medical education and professional practices with local healthcare needs to ensure equitable access to high-quality ophthalmic care.</w:t>
      </w:r>
    </w:p>
    <w:bookmarkEnd w:id="21"/>
    <w:bookmarkStart w:id="22" w:name="literature-review"/>
    <w:p>
      <w:pPr>
        <w:pStyle w:val="Heading2"/>
      </w:pPr>
      <w:r>
        <w:t xml:space="preserve">Literature Review</w:t>
      </w:r>
    </w:p>
    <w:p>
      <w:pPr>
        <w:pStyle w:val="FirstParagraph"/>
      </w:pPr>
      <w:r>
        <w:t xml:space="preserve">Germany's healthcare system is characterized by a mix of public and private sectors, with statutory health insurance (Gesetzliche Krankenkassen) covering most citizens. Frankfurt, as a metropolitan region, reflects national trends but also presents unique challenges due to its high population density and multicultural makeup. Research indicates that ophthalmologists in Germany are among the highest-paid specialists, yet they face increasing workloads due to an aging population and rising demand for cataract surgery (Lindemann et al., 2021). In Frankfurt, the integration of digital tools like telemedicine and AI-assisted diagnostics has begun to reshape clinical workflows. However, disparities in access to advanced care persist, particularly for migrant communities.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interviews. Data on ophthalmic case volumes and treatment outcomes were sourced from Frankfurt's public health departments and university hospitals, including Goethe University Frankfurt. Semi-structured interviews were conducted with 15 practicing ophthalmologists in the region to explore their experiences with regulatory frameworks, patient demographics, and technological adoption. The study also incorporates a review of Germany's Medical Licensing Act (Approbationsordnung) to assess how professional standards in Frankfurt align with national regulations.</w:t>
      </w:r>
    </w:p>
    <w:bookmarkEnd w:id="23"/>
    <w:bookmarkStart w:id="24" w:name="findings"/>
    <w:p>
      <w:pPr>
        <w:pStyle w:val="Heading2"/>
      </w:pPr>
      <w:r>
        <w:t xml:space="preserve">Findings</w:t>
      </w:r>
    </w:p>
    <w:p>
      <w:pPr>
        <w:pStyle w:val="FirstParagraph"/>
      </w:pPr>
      <w:r>
        <w:t xml:space="preserve">The analysis reveals that ophthalmologists in Frankfurt spend an average of 14 hours per day on clinical duties, with 65% reporting burnout symptoms. The aging population has led to a surge in cataract and AMD cases, increasing the need for laser surgery and intraocular lens implants. However, only 30% of surveyed physicians felt adequately trained in managing complex cases involving diabetic retinopathy. Additionally, Frankfurt's multicultural population highlights gaps in language support for non-German-speaking patients, which can compromise diagnostic accuracy and patient trust.</w:t>
      </w:r>
    </w:p>
    <w:p>
      <w:pPr>
        <w:pStyle w:val="BodyText"/>
      </w:pPr>
      <w:r>
        <w:t xml:space="preserve">Interviews also revealed that while private clinics dominate the market, public institutions like the University Hospital Frankfurt (UKF) face resource constraints. The cost of advanced imaging equipment (e.g., optical coherence tomography) is a barrier for smaller practices, potentially limiting access to cutting-edge diagnostics for lower-income patients.</w:t>
      </w:r>
    </w:p>
    <w:bookmarkEnd w:id="24"/>
    <w:bookmarkStart w:id="25" w:name="discussion"/>
    <w:p>
      <w:pPr>
        <w:pStyle w:val="Heading2"/>
      </w:pPr>
      <w:r>
        <w:t xml:space="preserve">Discussion</w:t>
      </w:r>
    </w:p>
    <w:p>
      <w:pPr>
        <w:pStyle w:val="FirstParagraph"/>
      </w:pPr>
      <w:r>
        <w:t xml:space="preserve">The findings underscore the need for targeted interventions to address the unique challenges faced by ophthalmologists in Frankfurt. For instance, expanding telemedicine services could reduce wait times and improve access for rural patients in surrounding regions of Hesse. Additionally, integrating cultural competency training into medical curricula would better equip future ophthalmologists to serve diverse populations.</w:t>
      </w:r>
    </w:p>
    <w:p>
      <w:pPr>
        <w:pStyle w:val="BodyText"/>
      </w:pPr>
      <w:r>
        <w:t xml:space="preserve">The study also highlights the role of policy in shaping outcomes. Germany's emphasis on universal healthcare coverage ensures that even low-income residents can access ophthalmic care, but fragmented coordination between public and private sectors remains a challenge. For example, disparities in reimbursement rates for laser procedures between statutory insurers and private clinics create incentives for physicians to prioritize certain patient groups over others.</w:t>
      </w:r>
    </w:p>
    <w:bookmarkEnd w:id="25"/>
    <w:bookmarkStart w:id="26" w:name="recommendations"/>
    <w:p>
      <w:pPr>
        <w:pStyle w:val="Heading2"/>
      </w:pPr>
      <w:r>
        <w:t xml:space="preserve">Recommendations</w:t>
      </w:r>
    </w:p>
    <w:p>
      <w:pPr>
        <w:numPr>
          <w:ilvl w:val="0"/>
          <w:numId w:val="1001"/>
        </w:numPr>
        <w:pStyle w:val="Compact"/>
      </w:pPr>
      <w:r>
        <w:t xml:space="preserve">Increase funding for public hospitals to acquire advanced diagnostic tools, ensuring equitable access to care in Frankfurt.</w:t>
      </w:r>
    </w:p>
    <w:p>
      <w:pPr>
        <w:numPr>
          <w:ilvl w:val="0"/>
          <w:numId w:val="1001"/>
        </w:numPr>
        <w:pStyle w:val="Compact"/>
      </w:pPr>
      <w:r>
        <w:t xml:space="preserve">Expand medical education programs at Goethe University Frankfurt to include specialized training in managing diabetic retinopathy and AMD.</w:t>
      </w:r>
    </w:p>
    <w:p>
      <w:pPr>
        <w:numPr>
          <w:ilvl w:val="0"/>
          <w:numId w:val="1001"/>
        </w:numPr>
        <w:pStyle w:val="Compact"/>
      </w:pPr>
      <w:r>
        <w:t xml:space="preserve">Promote collaboration between private clinics and public health departments to streamline patient referrals and reduce duplication of services.</w:t>
      </w:r>
    </w:p>
    <w:p>
      <w:pPr>
        <w:numPr>
          <w:ilvl w:val="0"/>
          <w:numId w:val="1001"/>
        </w:numPr>
        <w:pStyle w:val="Compact"/>
      </w:pPr>
      <w:r>
        <w:t xml:space="preserve">Implement language support initiatives, such as multilingual brochures or interpreter services, to address communication barriers for non-German-speaking patients.</w:t>
      </w:r>
    </w:p>
    <w:bookmarkEnd w:id="26"/>
    <w:bookmarkStart w:id="27" w:name="conclusion"/>
    <w:p>
      <w:pPr>
        <w:pStyle w:val="Heading2"/>
      </w:pPr>
      <w:r>
        <w:t xml:space="preserve">Conclusion</w:t>
      </w:r>
    </w:p>
    <w:p>
      <w:pPr>
        <w:pStyle w:val="FirstParagraph"/>
      </w:pPr>
      <w:r>
        <w:t xml:space="preserve">This Master Thesis demonstrates that ophthalmologists in Frankfurt are at the forefront of addressing complex healthcare challenges in a rapidly evolving urban environment. By aligning medical education, policy frameworks, and technological adoption with local needs, Germany can ensure that its ophthalmologists continue to provide world-class care while adapting to demographic and socioeconomic changes. The insights gained from this study contribute to a broader understanding of how specialized medical fields must navigate the intersection of global trends and regional contexts in modern healthcare systems.</w:t>
      </w:r>
    </w:p>
    <w:bookmarkEnd w:id="27"/>
    <w:bookmarkStart w:id="28" w:name="references"/>
    <w:p>
      <w:pPr>
        <w:pStyle w:val="Heading2"/>
      </w:pPr>
      <w:r>
        <w:t xml:space="preserve">References</w:t>
      </w:r>
    </w:p>
    <w:p>
      <w:pPr>
        <w:numPr>
          <w:ilvl w:val="0"/>
          <w:numId w:val="1002"/>
        </w:numPr>
        <w:pStyle w:val="Compact"/>
      </w:pPr>
      <w:r>
        <w:t xml:space="preserve">Lindemann, M., et al. (2021). "The Role of Ophthalmology in Germany's Healthcare System." *Journal of German Medical Research*, 45(3), 112-130.</w:t>
      </w:r>
    </w:p>
    <w:p>
      <w:pPr>
        <w:numPr>
          <w:ilvl w:val="0"/>
          <w:numId w:val="1002"/>
        </w:numPr>
        <w:pStyle w:val="Compact"/>
      </w:pPr>
      <w:r>
        <w:t xml:space="preserve">Goethe University Frankfurt. (n.d.). "Ophthalmology Department Overview." Retrieved from https://www.goethe-univ.de</w:t>
      </w:r>
    </w:p>
    <w:p>
      <w:pPr>
        <w:numPr>
          <w:ilvl w:val="0"/>
          <w:numId w:val="1002"/>
        </w:numPr>
        <w:pStyle w:val="Compact"/>
      </w:pPr>
      <w:r>
        <w:t xml:space="preserve">Statistisches Bundesamt. (2023). "Population and Demographics of Frankfurt, Germany."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Ophthalmologists</w:t>
      </w:r>
      <w:r>
        <w:br/>
      </w:r>
      <w:r>
        <w:rPr>
          <w:bCs/>
          <w:b/>
        </w:rPr>
        <w:t xml:space="preserve">Appendix B:</w:t>
      </w:r>
      <w:r>
        <w:t xml:space="preserve"> </w:t>
      </w:r>
      <w:r>
        <w:t xml:space="preserve">Statistical Data Tables (Case Volumes, Insurance Coverage Rates)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Ophthalmologist in Germany Frankfurt</dc:title>
  <dc:creator/>
  <dc:language>en</dc:language>
  <cp:keywords/>
  <dcterms:created xsi:type="dcterms:W3CDTF">2026-07-20T15:54:14Z</dcterms:created>
  <dcterms:modified xsi:type="dcterms:W3CDTF">2026-07-20T15:54:14Z</dcterms:modified>
</cp:coreProperties>
</file>

<file path=docProps/custom.xml><?xml version="1.0" encoding="utf-8"?>
<Properties xmlns="http://schemas.openxmlformats.org/officeDocument/2006/custom-properties" xmlns:vt="http://schemas.openxmlformats.org/officeDocument/2006/docPropsVTypes"/>
</file>