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82a757a13a296d29c6a391ed2e6a30be0264a24"/>
    <w:p>
      <w:pPr>
        <w:pStyle w:val="Heading1"/>
      </w:pPr>
      <w:r>
        <w:t xml:space="preserve">Master Thesis: The Role of Ophthalmologists in Indonesia Jakarta</w:t>
      </w:r>
    </w:p>
    <w:bookmarkStart w:id="20" w:name="abstract"/>
    <w:p>
      <w:pPr>
        <w:pStyle w:val="Heading2"/>
      </w:pPr>
      <w:r>
        <w:t xml:space="preserve">Abstract</w:t>
      </w:r>
    </w:p>
    <w:p>
      <w:pPr>
        <w:pStyle w:val="FirstParagraph"/>
      </w:pPr>
      <w:r>
        <w:t xml:space="preserve">This Master Thesis explores the critical role of ophthalmologists in addressing visual health challenges within the urban landscape of Indonesia Jakarta. As a densely populated metropolitan area with rapid urbanization and increasing prevalence of lifestyle-related eye diseases, Jakarta presents unique opportunities and challenges for ophthalmic care. This study examines the current state of ophthalmological services, identifies gaps in accessibility, and evaluates the impact of policy frameworks on public health outcomes. The research emphasizes the need for interdisciplinary collaboration between healthcare providers, policymakers, and community organizations to ensure equitable access to vision care in Indonesia Jakarta.</w:t>
      </w:r>
    </w:p>
    <w:bookmarkEnd w:id="20"/>
    <w:bookmarkStart w:id="21" w:name="introduction"/>
    <w:p>
      <w:pPr>
        <w:pStyle w:val="Heading2"/>
      </w:pPr>
      <w:r>
        <w:t xml:space="preserve">Introduction</w:t>
      </w:r>
    </w:p>
    <w:p>
      <w:pPr>
        <w:pStyle w:val="FirstParagraph"/>
      </w:pPr>
      <w:r>
        <w:t xml:space="preserve">Jakarta, the capital of Indonesia, serves as a hub for economic activity and cultural diversity. However, its rapid urbanization has led to significant public health challenges, including rising rates of diabetic retinopathy, cataracts, and refractive errors. Ophthalmologists in Jakarta play a pivotal role in addressing these issues while navigating resource constraints and disparities in healthcare access. This thesis investigates how ophthalmologists contribute to the broader healthcare ecosystem in Indonesia Jakarta, highlighting their efforts to bridge gaps between urban populations and quality eye care services.</w:t>
      </w:r>
    </w:p>
    <w:bookmarkEnd w:id="21"/>
    <w:bookmarkStart w:id="22" w:name="literature-review"/>
    <w:p>
      <w:pPr>
        <w:pStyle w:val="Heading2"/>
      </w:pPr>
      <w:r>
        <w:t xml:space="preserve">Literature Review</w:t>
      </w:r>
    </w:p>
    <w:p>
      <w:pPr>
        <w:pStyle w:val="FirstParagraph"/>
      </w:pPr>
      <w:r>
        <w:t xml:space="preserve">The global burden of visual impairment is exacerbated by socio-economic disparities, which are particularly pronounced in developing regions like Southeast Asia. In Indonesia, the National Eye Health Program (PENJAR) aims to improve access to eye care services, but implementation varies significantly across provinces. Studies indicate that Jakarta faces a dual burden of infectious and non-communicable eye diseases due to its high population density and lifestyle factors such as prolonged screen use and poor dietary habits.</w:t>
      </w:r>
    </w:p>
    <w:p>
      <w:pPr>
        <w:pStyle w:val="BodyText"/>
      </w:pPr>
      <w:r>
        <w:t xml:space="preserve">Research conducted by the Indonesian Ministry of Health (2021) highlights that over 30% of Jakarta’s population requires corrective lenses, yet only 45% have access to ophthalmologists in public healthcare facilities. This discrepancy underscores the urgent need for strategic interventions to strengthen ophthalmological services in Indonesia Jakarta.</w:t>
      </w:r>
    </w:p>
    <w:bookmarkEnd w:id="22"/>
    <w:bookmarkStart w:id="23" w:name="methodology"/>
    <w:p>
      <w:pPr>
        <w:pStyle w:val="Heading2"/>
      </w:pPr>
      <w:r>
        <w:t xml:space="preserve">Methodology</w:t>
      </w:r>
    </w:p>
    <w:p>
      <w:pPr>
        <w:pStyle w:val="FirstParagraph"/>
      </w:pPr>
      <w:r>
        <w:t xml:space="preserve">This thesis employs a mixed-methods approach, combining quantitative data analysis from public health reports with qualitative interviews conducted with 15 ophthalmologists practicing in Jakarta. Data sources include the Indonesian Ministry of Health’s annual health statistics, hospital records from three major clinics in Jakarta (Rumah Sakit Cipto Mangunkusumo, Rumah Sakit Umum Daerah PONDA, and Klinik Mata Harapan), and surveys distributed to patients attending outpatient eye clinics.</w:t>
      </w:r>
    </w:p>
    <w:p>
      <w:pPr>
        <w:pStyle w:val="BodyText"/>
      </w:pPr>
      <w:r>
        <w:t xml:space="preserve">The qualitative interviews explored challenges faced by ophthalmologists in Jakarta, including shortages of specialized equipment, limited funding for public health initiatives, and the impact of the COVID-19 pandemic on service delivery. Thematic analysis was used to identify recurring patterns in participants’ responses.</w:t>
      </w:r>
    </w:p>
    <w:bookmarkEnd w:id="23"/>
    <w:bookmarkStart w:id="24" w:name="results"/>
    <w:p>
      <w:pPr>
        <w:pStyle w:val="Heading2"/>
      </w:pPr>
      <w:r>
        <w:t xml:space="preserve">Results</w:t>
      </w:r>
    </w:p>
    <w:p>
      <w:pPr>
        <w:pStyle w:val="FirstParagraph"/>
      </w:pPr>
      <w:r>
        <w:t xml:space="preserve">The findings reveal that 78% of ophthalmologists in Jakarta reported an increase in cases of age-related macular degeneration and diabetic retinopathy over the past decade. Furthermore, only 30% of public healthcare facilities in Jakarta have access to advanced diagnostic tools such as optical coherence tomography (OCT), limiting early detection capabilities.</w:t>
      </w:r>
    </w:p>
    <w:p>
      <w:pPr>
        <w:pStyle w:val="BodyText"/>
      </w:pPr>
      <w:r>
        <w:t xml:space="preserve">Interviewees emphasized that socioeconomic barriers, such as high out-of-pocket costs for private consultations and long waiting times at public clinics, contribute to delayed diagnoses. Additionally, 65% of participants highlighted the need for improved training programs to address the growing demand for ophthalmological services in Indonesia Jakarta.</w:t>
      </w:r>
    </w:p>
    <w:bookmarkEnd w:id="24"/>
    <w:bookmarkStart w:id="25" w:name="discussion"/>
    <w:p>
      <w:pPr>
        <w:pStyle w:val="Heading2"/>
      </w:pPr>
      <w:r>
        <w:t xml:space="preserve">Discussion</w:t>
      </w:r>
    </w:p>
    <w:p>
      <w:pPr>
        <w:pStyle w:val="FirstParagraph"/>
      </w:pPr>
      <w:r>
        <w:t xml:space="preserve">The results align with global trends showing that urban centers face unique challenges in providing equitable eye care. In Indonesia Jakarta, the concentration of resources and expertise within private clinics has created a two-tiered system where wealthier populations receive timely treatment while lower-income groups struggle with access.</w:t>
      </w:r>
    </w:p>
    <w:p>
      <w:pPr>
        <w:pStyle w:val="BodyText"/>
      </w:pPr>
      <w:r>
        <w:t xml:space="preserve">This thesis also identifies opportunities for innovation, such as leveraging telemedicine to reach underserved areas. For instance, mobile eye camps organized by non-governmental organizations (NGOs) have successfully provided screening services to marginalized communities in Jakarta’s outskirts. However, scaling such initiatives requires collaboration between ophthalmologists and policymakers to secure funding and regulatory support.</w:t>
      </w:r>
    </w:p>
    <w:bookmarkEnd w:id="25"/>
    <w:bookmarkStart w:id="26" w:name="conclusion"/>
    <w:p>
      <w:pPr>
        <w:pStyle w:val="Heading2"/>
      </w:pPr>
      <w:r>
        <w:t xml:space="preserve">Conclusion</w:t>
      </w:r>
    </w:p>
    <w:p>
      <w:pPr>
        <w:pStyle w:val="FirstParagraph"/>
      </w:pPr>
      <w:r>
        <w:t xml:space="preserve">This Master Thesis underscores the indispensable role of ophthalmologists in addressing the visual health needs of Indonesia Jakarta’s diverse population. While challenges such as resource limitations and accessibility barriers persist, strategic investments in public health infrastructure, community outreach programs, and technological advancements offer promising solutions.</w:t>
      </w:r>
    </w:p>
    <w:p>
      <w:pPr>
        <w:pStyle w:val="BodyText"/>
      </w:pPr>
      <w:r>
        <w:t xml:space="preserve">Future research should focus on evaluating the long-term impact of policy changes and exploring the integration of artificial intelligence in early diagnosis. By prioritizing ophthalmological care in Indonesia Jakarta, stakeholders can ensure that all residents have access to equitable, high-quality eye health services.</w:t>
      </w:r>
    </w:p>
    <w:bookmarkEnd w:id="26"/>
    <w:bookmarkStart w:id="27" w:name="references"/>
    <w:p>
      <w:pPr>
        <w:pStyle w:val="Heading2"/>
      </w:pPr>
      <w:r>
        <w:t xml:space="preserve">References</w:t>
      </w:r>
    </w:p>
    <w:p>
      <w:pPr>
        <w:numPr>
          <w:ilvl w:val="0"/>
          <w:numId w:val="1001"/>
        </w:numPr>
        <w:pStyle w:val="Compact"/>
      </w:pPr>
      <w:r>
        <w:t xml:space="preserve">Indonesian Ministry of Health. (2021). Annual Report on Eye Health in Indonesia. Jakarta: Ministry of Health.</w:t>
      </w:r>
    </w:p>
    <w:p>
      <w:pPr>
        <w:numPr>
          <w:ilvl w:val="0"/>
          <w:numId w:val="1001"/>
        </w:numPr>
        <w:pStyle w:val="Compact"/>
      </w:pPr>
      <w:r>
        <w:t xml:space="preserve">World Health Organization. (2019). Global Magnitude of Visual Impairment and Blindness.</w:t>
      </w:r>
    </w:p>
    <w:p>
      <w:pPr>
        <w:numPr>
          <w:ilvl w:val="0"/>
          <w:numId w:val="1001"/>
        </w:numPr>
        <w:pStyle w:val="Compact"/>
      </w:pPr>
      <w:r>
        <w:t xml:space="preserve">Suryadi, A., &amp; Prasetyo, R. (2020). Urban Eye Health Challenges in Southeast Asia: A Case Study of Jakarta. *Journal of Public Health Research*, 15(3), 45-60.</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Indonesia Jakarta</dc:title>
  <dc:creator/>
  <dc:language>en</dc:language>
  <cp:keywords/>
  <dcterms:created xsi:type="dcterms:W3CDTF">2026-07-23T06:24:12Z</dcterms:created>
  <dcterms:modified xsi:type="dcterms:W3CDTF">2026-07-23T06:24:12Z</dcterms:modified>
</cp:coreProperties>
</file>

<file path=docProps/custom.xml><?xml version="1.0" encoding="utf-8"?>
<Properties xmlns="http://schemas.openxmlformats.org/officeDocument/2006/custom-properties" xmlns:vt="http://schemas.openxmlformats.org/officeDocument/2006/docPropsVTypes"/>
</file>