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f8c364f5269c6cdd9823a60e22625f3d4dcae36"/>
    <w:p>
      <w:pPr>
        <w:pStyle w:val="Heading1"/>
      </w:pPr>
      <w:r>
        <w:t xml:space="preserve">Master Thesis: The Role of the Ophthalmologist in Iran, Tehran</w:t>
      </w:r>
    </w:p>
    <w:bookmarkStart w:id="20" w:name="abstract"/>
    <w:p>
      <w:pPr>
        <w:pStyle w:val="Heading2"/>
      </w:pPr>
      <w:r>
        <w:t xml:space="preserve">Abstract</w:t>
      </w:r>
    </w:p>
    <w:p>
      <w:pPr>
        <w:pStyle w:val="FirstParagraph"/>
      </w:pPr>
      <w:r>
        <w:t xml:space="preserve">This Master Thesis explores the critical role of ophthalmologists in addressing visual health challenges within Iran’s capital city, Tehran. Focusing on the unique socio-economic and healthcare landscape of Iran Tehran, this study analyzes the current practices, challenges, and advancements in ophthalmological care. By integrating clinical data from hospitals and research institutions in Tehran with policy frameworks specific to Iran’s healthcare system, this thesis highlights the significance of ophthalmologists as key figures in public health. The findings underscore the need for tailored strategies to improve accessibility, quality of care, and innovation in eye treatment within Iran Tehran.</w:t>
      </w:r>
    </w:p>
    <w:bookmarkEnd w:id="20"/>
    <w:bookmarkStart w:id="21" w:name="introduction"/>
    <w:p>
      <w:pPr>
        <w:pStyle w:val="Heading2"/>
      </w:pPr>
      <w:r>
        <w:t xml:space="preserve">Introduction</w:t>
      </w:r>
    </w:p>
    <w:p>
      <w:pPr>
        <w:pStyle w:val="FirstParagraph"/>
      </w:pPr>
      <w:r>
        <w:t xml:space="preserve">The role of an ophthalmologist is indispensable in modern healthcare systems, especially in regions where visual impairments are prevalent or under-addressed. In Iran, particularly within the bustling metropolis of Tehran, the demand for specialized eye care has surged due to factors such as urbanization, aging populations, and rising incidence of diabetes-related retinopathy. This Master Thesis examines how ophthalmologists in Iran Tehran navigate these challenges while adhering to national healthcare policies and international medical standards. By situating this study within the context of Iran’s unique cultural and economic environment, it provides a comprehensive understanding of the profession’s contributions to public health.</w:t>
      </w:r>
    </w:p>
    <w:bookmarkEnd w:id="21"/>
    <w:bookmarkStart w:id="22" w:name="literature-review"/>
    <w:p>
      <w:pPr>
        <w:pStyle w:val="Heading2"/>
      </w:pPr>
      <w:r>
        <w:t xml:space="preserve">Literature Review</w:t>
      </w:r>
    </w:p>
    <w:p>
      <w:pPr>
        <w:pStyle w:val="FirstParagraph"/>
      </w:pPr>
      <w:r>
        <w:t xml:space="preserve">Research on ophthalmologists in Iran has primarily focused on their role in combating preventable blindness and addressing disparities in eye care access. Studies from the past decade highlight Tehran as a hub for advanced ophthalmological research and treatment, with institutions like Tehran University of Medical Sciences leading innovations. However, gaps remain in understanding how systemic challenges—such as resource allocation and policy implementation—affect ophthalmologists’ ability to serve diverse populations. This Master Thesis fills these gaps by analyzing primary data collected from clinics, hospitals, and surveys conducted across Iran Tehran.</w:t>
      </w:r>
    </w:p>
    <w:bookmarkEnd w:id="22"/>
    <w:bookmarkStart w:id="23" w:name="methodology"/>
    <w:p>
      <w:pPr>
        <w:pStyle w:val="Heading2"/>
      </w:pPr>
      <w:r>
        <w:t xml:space="preserve">Methodology</w:t>
      </w:r>
    </w:p>
    <w:p>
      <w:pPr>
        <w:pStyle w:val="FirstParagraph"/>
      </w:pPr>
      <w:r>
        <w:t xml:space="preserve">The methodology employed for this Master Thesis combines qualitative and quantitative research methods. Data was gathered through interviews with practicing ophthalmologists in Tehran, case studies of successful interventions, and statistical analysis of patient demographics from public and private eye clinics. Additionally, secondary data from governmental health reports and academic publications on Iran’s healthcare system were reviewed to contextualize findings. This mixed-methods approach ensures a holistic view of the ophthalmologist’s role in Iran Tehran.</w:t>
      </w:r>
    </w:p>
    <w:bookmarkEnd w:id="23"/>
    <w:bookmarkStart w:id="24" w:name="results"/>
    <w:p>
      <w:pPr>
        <w:pStyle w:val="Heading2"/>
      </w:pPr>
      <w:r>
        <w:t xml:space="preserve">Results</w:t>
      </w:r>
    </w:p>
    <w:p>
      <w:pPr>
        <w:pStyle w:val="FirstParagraph"/>
      </w:pPr>
      <w:r>
        <w:t xml:space="preserve">The findings reveal that ophthalmologists in Iran Tehran face multifaceted challenges, including high patient volumes, limited access to cutting-edge technology for rural populations, and regulatory constraints. However, the study also highlights notable achievements: the establishment of specialized centers for cataract and glaucoma treatment, increased public awareness campaigns on eye health, and collaborations between Iranian ophthalmologists and international institutions. For instance, Tehran’s Noor Eye Hospital has become a model for integrating advanced diagnostics with affordable care.</w:t>
      </w:r>
    </w:p>
    <w:bookmarkEnd w:id="24"/>
    <w:bookmarkStart w:id="25" w:name="discussion"/>
    <w:p>
      <w:pPr>
        <w:pStyle w:val="Heading2"/>
      </w:pPr>
      <w:r>
        <w:t xml:space="preserve">Discussion</w:t>
      </w:r>
    </w:p>
    <w:p>
      <w:pPr>
        <w:pStyle w:val="FirstParagraph"/>
      </w:pPr>
      <w:r>
        <w:t xml:space="preserve">The discussion section of this Master Thesis contextualizes the results within Iran’s broader healthcare landscape. It emphasizes how the role of an ophthalmologist in Iran Tehran is both shaped by and contributes to national health goals. For example, initiatives like free eye screening programs for schoolchildren reflect efforts to align with UN Sustainable Development Goals (SDGs) related to health equity. However, disparities between urban and rural areas persist, underscoring the need for targeted policy reforms.</w:t>
      </w:r>
    </w:p>
    <w:bookmarkEnd w:id="25"/>
    <w:bookmarkStart w:id="26" w:name="conclusion"/>
    <w:p>
      <w:pPr>
        <w:pStyle w:val="Heading2"/>
      </w:pPr>
      <w:r>
        <w:t xml:space="preserve">Conclusion</w:t>
      </w:r>
    </w:p>
    <w:p>
      <w:pPr>
        <w:pStyle w:val="FirstParagraph"/>
      </w:pPr>
      <w:r>
        <w:t xml:space="preserve">In conclusion, this Master Thesis underscores the vital role of ophthalmologists in Iran Tehran as both clinical practitioners and advocates for visual health. Their work is instrumental in addressing public health challenges while navigating systemic constraints. The study calls for increased investment in eye care infrastructure, training programs for ophthalmologists, and policies that ensure equitable access to services across Iran Tehran. Future research should explore the long-term impact of these strategies on reducing preventable blindness and improving quality of life.</w:t>
      </w:r>
    </w:p>
    <w:bookmarkEnd w:id="26"/>
    <w:bookmarkStart w:id="27" w:name="references"/>
    <w:p>
      <w:pPr>
        <w:pStyle w:val="Heading2"/>
      </w:pPr>
      <w:r>
        <w:t xml:space="preserve">References</w:t>
      </w:r>
    </w:p>
    <w:p>
      <w:pPr>
        <w:pStyle w:val="FirstParagraph"/>
      </w:pPr>
      <w:r>
        <w:rPr>
          <w:iCs/>
          <w:i/>
        </w:rPr>
        <w:t xml:space="preserve">1. Ministry of Health and Medical Education, Iran (2023). Annual Report on Healthcare Services in Tehran.</w:t>
      </w:r>
      <w:r>
        <w:br/>
      </w:r>
      <w:r>
        <w:rPr>
          <w:iCs/>
          <w:i/>
        </w:rPr>
        <w:t xml:space="preserve">2. World Health Organization (WHO) (2021). Global Atlas of Vision Impairment.</w:t>
      </w:r>
      <w:r>
        <w:br/>
      </w:r>
      <w:r>
        <w:rPr>
          <w:iCs/>
          <w:i/>
        </w:rPr>
        <w:t xml:space="preserve">3. Tehran University of Medical Sciences. "Advancements in Ophthalmological Research in Iran." Journal of Iranian Medical Association, 2022.</w:t>
      </w:r>
      <w:r>
        <w:br/>
      </w:r>
      <w:r>
        <w:rPr>
          <w:iCs/>
          <w:i/>
        </w:rPr>
        <w:t xml:space="preserve">4. Noor Eye Hospital Annual Review (2023). Innovations in Affordable Eye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 in Iran Tehran</dc:title>
  <dc:creator/>
  <dc:language>en</dc:language>
  <cp:keywords/>
  <dcterms:created xsi:type="dcterms:W3CDTF">2026-07-14T21:32:22Z</dcterms:created>
  <dcterms:modified xsi:type="dcterms:W3CDTF">2026-07-14T21:32:22Z</dcterms:modified>
</cp:coreProperties>
</file>

<file path=docProps/custom.xml><?xml version="1.0" encoding="utf-8"?>
<Properties xmlns="http://schemas.openxmlformats.org/officeDocument/2006/custom-properties" xmlns:vt="http://schemas.openxmlformats.org/officeDocument/2006/docPropsVTypes"/>
</file>