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96471a75b3a50ba1127649342b46e19de821a34"/>
    <w:p>
      <w:pPr>
        <w:pStyle w:val="Heading1"/>
      </w:pPr>
      <w:r>
        <w:t xml:space="preserve">Master Thesis: The Role of Ophthalmologists in Kazakhstan, Almaty</w:t>
      </w:r>
    </w:p>
    <w:bookmarkStart w:id="20" w:name="abstract"/>
    <w:p>
      <w:pPr>
        <w:pStyle w:val="Heading2"/>
      </w:pPr>
      <w:r>
        <w:t xml:space="preserve">Abstract</w:t>
      </w:r>
    </w:p>
    <w:p>
      <w:pPr>
        <w:pStyle w:val="FirstParagraph"/>
      </w:pPr>
      <w:r>
        <w:t xml:space="preserve">This Master Thesis explores the critical role of ophthalmologists in addressing eye health challenges in Kazakhstan, with a specific focus on Almaty. As a major urban center and the capital of Almaty Region, the city serves as a hub for advanced medical care, education, and research. The thesis examines the current state of ophthalmological services in Almaty, challenges faced by practitioners, and opportunities for innovation to improve eye care accessibility across Kazakhstan. Emphasis is placed on integrating modern technology with traditional practices to meet the growing demand for specialized healthcare in a rapidly developing region.</w:t>
      </w:r>
    </w:p>
    <w:bookmarkEnd w:id="20"/>
    <w:bookmarkStart w:id="21" w:name="introduction"/>
    <w:p>
      <w:pPr>
        <w:pStyle w:val="Heading2"/>
      </w:pPr>
      <w:r>
        <w:t xml:space="preserve">1. Introduction</w:t>
      </w:r>
    </w:p>
    <w:p>
      <w:pPr>
        <w:pStyle w:val="FirstParagraph"/>
      </w:pPr>
      <w:r>
        <w:t xml:space="preserve">Kazakhstan’s healthcare system has undergone significant transformation in recent decades, driven by economic growth and international collaboration. Almaty, home to over 2 million people, plays a pivotal role in this evolution as a center for medical excellence. Ophthalmologists in Almaty are at the forefront of addressing vision-related issues such as cataracts, glaucoma, and diabetic retinopathy—conditions that affect millions across Kazakhstan. This thesis investigates how ophthalmologists in Almaty contribute to national health goals while navigating unique challenges such as resource distribution disparities and the need for culturally tailored care.</w:t>
      </w:r>
    </w:p>
    <w:bookmarkEnd w:id="21"/>
    <w:bookmarkStart w:id="22" w:name="Xab66b3b699e40de27162603f854ccb8322c1c78"/>
    <w:p>
      <w:pPr>
        <w:pStyle w:val="Heading2"/>
      </w:pPr>
      <w:r>
        <w:t xml:space="preserve">2. Current Status of Ophthalmology in Almaty</w:t>
      </w:r>
    </w:p>
    <w:p>
      <w:pPr>
        <w:pStyle w:val="FirstParagraph"/>
      </w:pPr>
      <w:r>
        <w:t xml:space="preserve">Almaty boasts several state-of-the-art ophthalmology clinics, including the Almaty Regional Eye Hospital and partnerships with international institutions like the University of Toronto’s Faculty of Medicine. These facilities offer advanced diagnostic tools such as optical coherence tomography (OCT) and laser surgery, ensuring high-quality care. However, despite these advancements, rural regions in Kazakhstan often lack access to similar services, creating a disparity that Almaty-based ophthalmologists strive to bridge through outreach programs and telemedicine initiatives.</w:t>
      </w:r>
    </w:p>
    <w:bookmarkEnd w:id="22"/>
    <w:bookmarkStart w:id="23" w:name="X3748b1445e100c7b78639504419c257bdd1b696"/>
    <w:p>
      <w:pPr>
        <w:pStyle w:val="Heading2"/>
      </w:pPr>
      <w:r>
        <w:t xml:space="preserve">3. Challenges Faced by Ophthalmologists in Almaty</w:t>
      </w:r>
    </w:p>
    <w:p>
      <w:pPr>
        <w:pStyle w:val="FirstParagraph"/>
      </w:pPr>
      <w:r>
        <w:t xml:space="preserve">Ophthalmologists in Almaty encounter multifaceted challenges. First, the urban-rural divide exacerbates healthcare inequality, as patients from remote areas must travel long distances for specialized care. Second, the rapid aging population in Kazakhstan increases the prevalence of age-related eye diseases, straining existing infrastructure. Third, there is a growing demand for bilingual services to cater to Kazakhstan’s diverse ethnic groups—particularly Kazakhs and Russians—who may prefer consultations in their native languages.</w:t>
      </w:r>
    </w:p>
    <w:bookmarkEnd w:id="23"/>
    <w:bookmarkStart w:id="24" w:name="X079aed7d6c826bdae11a383579c3a3ff32e1596"/>
    <w:p>
      <w:pPr>
        <w:pStyle w:val="Heading2"/>
      </w:pPr>
      <w:r>
        <w:t xml:space="preserve">4. Case Study: Eye Care Innovations in Almaty</w:t>
      </w:r>
    </w:p>
    <w:p>
      <w:pPr>
        <w:pStyle w:val="FirstParagraph"/>
      </w:pPr>
      <w:r>
        <w:t xml:space="preserve">A notable example of innovation is the “Bright Future” initiative launched by Almaty’s Public Health Department in collaboration with non-governmental organizations (NGOs). This program provides free cataract surgeries to underprivileged communities and utilizes AI-powered diagnostic tools to screen for diabetic retinopathy. By 2023, over 5,000 patients had benefited from the initiative, highlighting the potential of technology-driven solutions in improving accessibility and efficiency.</w:t>
      </w:r>
    </w:p>
    <w:bookmarkEnd w:id="24"/>
    <w:bookmarkStart w:id="25" w:name="opportunities-for-growth"/>
    <w:p>
      <w:pPr>
        <w:pStyle w:val="Heading2"/>
      </w:pPr>
      <w:r>
        <w:t xml:space="preserve">5. Opportunities for Growth</w:t>
      </w:r>
    </w:p>
    <w:p>
      <w:pPr>
        <w:pStyle w:val="FirstParagraph"/>
      </w:pPr>
      <w:r>
        <w:t xml:space="preserve">The future of ophthalmology in Almaty hinges on leveraging digital health technologies and expanding educational programs. Universities such as the Kazakh-British Technical University offer specialized ophthalmology courses, but there is a need to increase training capacity to meet demand. Additionally, partnerships with global organizations like the World Health Organization (WHO) could enhance research capabilities and provide funding for community-based eye health projects.</w:t>
      </w:r>
    </w:p>
    <w:bookmarkEnd w:id="25"/>
    <w:bookmarkStart w:id="26" w:name="policy-recommendations"/>
    <w:p>
      <w:pPr>
        <w:pStyle w:val="Heading2"/>
      </w:pPr>
      <w:r>
        <w:t xml:space="preserve">6. Policy Recommendations</w:t>
      </w:r>
    </w:p>
    <w:p>
      <w:pPr>
        <w:pStyle w:val="FirstParagraph"/>
      </w:pPr>
      <w:r>
        <w:t xml:space="preserve">To strengthen ophthalmology services in Almaty and Kazakhstan, policymakers should prioritize:</w:t>
      </w:r>
    </w:p>
    <w:p>
      <w:pPr>
        <w:numPr>
          <w:ilvl w:val="0"/>
          <w:numId w:val="1001"/>
        </w:numPr>
        <w:pStyle w:val="Compact"/>
      </w:pPr>
      <w:r>
        <w:t xml:space="preserve">Investing in telemedicine infrastructure to connect urban specialists with rural patients.</w:t>
      </w:r>
    </w:p>
    <w:p>
      <w:pPr>
        <w:numPr>
          <w:ilvl w:val="0"/>
          <w:numId w:val="1001"/>
        </w:numPr>
        <w:pStyle w:val="Compact"/>
      </w:pPr>
      <w:r>
        <w:t xml:space="preserve">Expanding scholarship programs for students pursuing ophthalmology degrees.</w:t>
      </w:r>
    </w:p>
    <w:p>
      <w:pPr>
        <w:numPr>
          <w:ilvl w:val="0"/>
          <w:numId w:val="1001"/>
        </w:numPr>
        <w:pStyle w:val="Compact"/>
      </w:pPr>
      <w:r>
        <w:t xml:space="preserve">Mandating bilingual training for medical professionals to improve patient communication.</w:t>
      </w:r>
    </w:p>
    <w:bookmarkEnd w:id="26"/>
    <w:bookmarkStart w:id="27" w:name="conclusion"/>
    <w:p>
      <w:pPr>
        <w:pStyle w:val="Heading2"/>
      </w:pPr>
      <w:r>
        <w:t xml:space="preserve">7. Conclusion</w:t>
      </w:r>
    </w:p>
    <w:p>
      <w:pPr>
        <w:pStyle w:val="FirstParagraph"/>
      </w:pPr>
      <w:r>
        <w:t xml:space="preserve">Ophthalmologists in Almaty are instrumental in shaping the future of eye health in Kazakhstan. By addressing systemic challenges and embracing technological advancements, they can ensure equitable access to care for all citizens. This thesis underscores the importance of interdisciplinary collaboration, continuous education, and policy reform to position Almaty as a regional leader in ophthalmological innovation.</w:t>
      </w:r>
    </w:p>
    <w:bookmarkEnd w:id="27"/>
    <w:bookmarkStart w:id="28" w:name="references"/>
    <w:p>
      <w:pPr>
        <w:pStyle w:val="Heading2"/>
      </w:pPr>
      <w:r>
        <w:t xml:space="preserve">References</w:t>
      </w:r>
    </w:p>
    <w:p>
      <w:pPr>
        <w:numPr>
          <w:ilvl w:val="0"/>
          <w:numId w:val="1002"/>
        </w:numPr>
        <w:pStyle w:val="Compact"/>
      </w:pPr>
      <w:r>
        <w:t xml:space="preserve">Kazakhstan Ministry of Health. (2023). National Eye Health Strategy 2030.</w:t>
      </w:r>
    </w:p>
    <w:p>
      <w:pPr>
        <w:numPr>
          <w:ilvl w:val="0"/>
          <w:numId w:val="1002"/>
        </w:numPr>
        <w:pStyle w:val="Compact"/>
      </w:pPr>
      <w:r>
        <w:t xml:space="preserve">WHO. (2021). Global Report on Vision 2019.</w:t>
      </w:r>
    </w:p>
    <w:p>
      <w:pPr>
        <w:numPr>
          <w:ilvl w:val="0"/>
          <w:numId w:val="1002"/>
        </w:numPr>
        <w:pStyle w:val="Compact"/>
      </w:pPr>
      <w:r>
        <w:t xml:space="preserve">Kazakh-British Technical University. (2023). Department of Ophthalmology Annual Review.</w:t>
      </w:r>
    </w:p>
    <w:bookmarkEnd w:id="28"/>
    <w:bookmarkStart w:id="29" w:name="appendices"/>
    <w:p>
      <w:pPr>
        <w:pStyle w:val="Heading2"/>
      </w:pPr>
      <w:r>
        <w:t xml:space="preserve">Appendices</w:t>
      </w:r>
    </w:p>
    <w:p>
      <w:pPr>
        <w:pStyle w:val="FirstParagraph"/>
      </w:pPr>
      <w:r>
        <w:rPr>
          <w:iCs/>
          <w:i/>
        </w:rPr>
        <w:t xml:space="preserve">Appendix A: Survey Data on Eye Disease Prevalence in Almaty</w:t>
      </w:r>
      <w:r>
        <w:br/>
      </w:r>
      <w:r>
        <w:rPr>
          <w:iCs/>
          <w:i/>
        </w:rPr>
        <w:t xml:space="preserve">Appendix B: Interview Transcripts with Local Ophthalmologists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Kazakhstan, Almaty</dc:title>
  <dc:creator/>
  <dc:language>en</dc:language>
  <cp:keywords/>
  <dcterms:created xsi:type="dcterms:W3CDTF">2026-07-23T02:21:15Z</dcterms:created>
  <dcterms:modified xsi:type="dcterms:W3CDTF">2026-07-23T02:21:15Z</dcterms:modified>
</cp:coreProperties>
</file>

<file path=docProps/custom.xml><?xml version="1.0" encoding="utf-8"?>
<Properties xmlns="http://schemas.openxmlformats.org/officeDocument/2006/custom-properties" xmlns:vt="http://schemas.openxmlformats.org/officeDocument/2006/docPropsVTypes"/>
</file>