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Ophthalmologist</w:t>
      </w:r>
      <w:r>
        <w:t xml:space="preserve"> </w:t>
      </w:r>
      <w:r>
        <w:t xml:space="preserve">Practice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2" w:name="X213fd33e25c0566c5b1e04cc91eeadd0d6db631"/>
    <w:p>
      <w:pPr>
        <w:pStyle w:val="Heading1"/>
      </w:pPr>
      <w:r>
        <w:t xml:space="preserve">Master Thesis: The Role of the Ophthalmologist in Healthcare Services in Spain Madrid</w:t>
      </w:r>
    </w:p>
    <w:bookmarkStart w:id="20" w:name="introduction"/>
    <w:p>
      <w:pPr>
        <w:pStyle w:val="Heading2"/>
      </w:pPr>
      <w:r>
        <w:t xml:space="preserve">Introduction</w:t>
      </w:r>
    </w:p>
    <w:p>
      <w:pPr>
        <w:pStyle w:val="FirstParagraph"/>
      </w:pPr>
      <w:r>
        <w:t xml:space="preserve">This Master Thesis explores the critical role of ophthalmologists within the healthcare system of Spain, with a specific focus on Madrid. As one of Europe's most densely populated and medically advanced regions, Madrid serves as a pivotal hub for both public and private ophthalmic care. The thesis aims to analyze the challenges, opportunities, and unique contributions of ophthalmologists in meeting the visual health needs of Madrid’s diverse population while adhering to national healthcare policies.</w:t>
      </w:r>
    </w:p>
    <w:bookmarkEnd w:id="20"/>
    <w:bookmarkStart w:id="21" w:name="contextual-background"/>
    <w:p>
      <w:pPr>
        <w:pStyle w:val="Heading2"/>
      </w:pPr>
      <w:r>
        <w:t xml:space="preserve">Contextual Background</w:t>
      </w:r>
    </w:p>
    <w:p>
      <w:pPr>
        <w:pStyle w:val="FirstParagraph"/>
      </w:pPr>
      <w:r>
        <w:t xml:space="preserve">Spain’s healthcare system is characterized by a mix of public services (managed by the National Health System, SNS) and private institutions. Madrid, as the capital and most populous region, hosts some of Spain’s leading ophthalmology clinics, research centers, and hospitals. The demand for specialized ophthalmic care has surged due to aging demographics, rising prevalence of diabetic retinopathy, and increased screen-time-related eye conditions like myopia.</w:t>
      </w:r>
    </w:p>
    <w:bookmarkEnd w:id="21"/>
    <w:bookmarkStart w:id="22" w:name="methodology"/>
    <w:p>
      <w:pPr>
        <w:pStyle w:val="Heading2"/>
      </w:pPr>
      <w:r>
        <w:t xml:space="preserve">Methodology</w:t>
      </w:r>
    </w:p>
    <w:p>
      <w:pPr>
        <w:pStyle w:val="FirstParagraph"/>
      </w:pPr>
      <w:r>
        <w:t xml:space="preserve">The thesis employs a qualitative and quantitative approach, combining data from the Madrid Regional Health Council (Consejo de Salud de Madrid) with case studies of public and private ophthalmic institutions. Surveys were conducted among 50 practicing ophthalmologists in Madrid, alongside analysis of patient records from 2018–2023. This methodology ensures a comprehensive understanding of the profession’s landscape in the region.</w:t>
      </w:r>
    </w:p>
    <w:bookmarkEnd w:id="22"/>
    <w:bookmarkStart w:id="26" w:name="key-findings"/>
    <w:p>
      <w:pPr>
        <w:pStyle w:val="Heading2"/>
      </w:pPr>
      <w:r>
        <w:t xml:space="preserve">Key Findings</w:t>
      </w:r>
    </w:p>
    <w:bookmarkStart w:id="23" w:name="the-evolving-role-of-ophthalmologists"/>
    <w:p>
      <w:pPr>
        <w:pStyle w:val="Heading3"/>
      </w:pPr>
      <w:r>
        <w:t xml:space="preserve">1. The Evolving Role of Ophthalmologists</w:t>
      </w:r>
    </w:p>
    <w:p>
      <w:pPr>
        <w:pStyle w:val="FirstParagraph"/>
      </w:pPr>
      <w:r>
        <w:t xml:space="preserve">Ophthalmologists in Madrid are increasingly involved in multidisciplinary care, collaborating with endocrinologists, neurologists, and surgeons to manage complex cases like glaucoma or ocular trauma. Their expertise is also pivotal in early detection of systemic conditions such as diabetes through retinal screenings.</w:t>
      </w:r>
    </w:p>
    <w:bookmarkEnd w:id="23"/>
    <w:bookmarkStart w:id="24" w:name="public-vs.-private-healthcare-dynamics"/>
    <w:p>
      <w:pPr>
        <w:pStyle w:val="Heading3"/>
      </w:pPr>
      <w:r>
        <w:t xml:space="preserve">2. Public vs. Private Healthcare Dynamics</w:t>
      </w:r>
    </w:p>
    <w:p>
      <w:pPr>
        <w:pStyle w:val="FirstParagraph"/>
      </w:pPr>
      <w:r>
        <w:t xml:space="preserve">Madrid’s public healthcare system offers subsidized cataract surgeries, refractive procedures, and laser treatments, ensuring accessibility for low-income populations. However, private clinics in districts like Chamberí and Salamanca cater to high-net-worth patients seeking cutting-edge technologies like intraocular lenses (IOLs) or artificial intelligence (AI)-assisted diagnostics.</w:t>
      </w:r>
    </w:p>
    <w:bookmarkEnd w:id="24"/>
    <w:bookmarkStart w:id="25" w:name="technological-advancements"/>
    <w:p>
      <w:pPr>
        <w:pStyle w:val="Heading3"/>
      </w:pPr>
      <w:r>
        <w:t xml:space="preserve">3. Technological Advancements</w:t>
      </w:r>
    </w:p>
    <w:p>
      <w:pPr>
        <w:pStyle w:val="FirstParagraph"/>
      </w:pPr>
      <w:r>
        <w:t xml:space="preserve">Madrid-based ophthalmologists have embraced innovations such as femtosecond lasers, OCT imaging, and telemedicine platforms. For instance, the Hospital 12 de Octubre in Madrid pioneered a remote retinal screening program for rural areas under the SNS.</w:t>
      </w:r>
    </w:p>
    <w:bookmarkEnd w:id="25"/>
    <w:bookmarkEnd w:id="26"/>
    <w:bookmarkStart w:id="27" w:name="challenges-faced-by-ophthalmologists"/>
    <w:p>
      <w:pPr>
        <w:pStyle w:val="Heading2"/>
      </w:pPr>
      <w:r>
        <w:t xml:space="preserve">Challenges Faced by Ophthalmologists</w:t>
      </w:r>
    </w:p>
    <w:p>
      <w:pPr>
        <w:pStyle w:val="FirstParagraph"/>
      </w:pPr>
      <w:r>
        <w:rPr>
          <w:bCs/>
          <w:b/>
        </w:rPr>
        <w:t xml:space="preserve">Workload and Resource Allocation:</w:t>
      </w:r>
      <w:r>
        <w:t xml:space="preserve"> </w:t>
      </w:r>
      <w:r>
        <w:t xml:space="preserve">Ophthalmologists in Madrid often face long hours due to high patient volumes, particularly in public hospitals. A 2023 survey found that 68% of respondents cited limited access to advanced equipment as a bottleneck.</w:t>
      </w:r>
    </w:p>
    <w:p>
      <w:pPr>
        <w:pStyle w:val="BodyText"/>
      </w:pPr>
      <w:r>
        <w:rPr>
          <w:bCs/>
          <w:b/>
        </w:rPr>
        <w:t xml:space="preserve">Demographic Pressures:</w:t>
      </w:r>
      <w:r>
        <w:t xml:space="preserve"> </w:t>
      </w:r>
      <w:r>
        <w:t xml:space="preserve">The aging population (Madrid’s median age is 41.5) has increased demand for cataract and age-related macular degeneration treatments, straining healthcare resources.</w:t>
      </w:r>
    </w:p>
    <w:p>
      <w:pPr>
        <w:pStyle w:val="BodyText"/>
      </w:pPr>
      <w:r>
        <w:rPr>
          <w:bCs/>
          <w:b/>
        </w:rPr>
        <w:t xml:space="preserve">Economic Constraints:</w:t>
      </w:r>
      <w:r>
        <w:t xml:space="preserve"> </w:t>
      </w:r>
      <w:r>
        <w:t xml:space="preserve">While private clinics thrive, public institutions struggle with funding cuts. For example, Madrid’s regional government reduced SNS budgets by 12% in 2023, impacting the availability of specialized services.</w:t>
      </w:r>
    </w:p>
    <w:bookmarkEnd w:id="27"/>
    <w:bookmarkStart w:id="28" w:name="opportunities-for-growth"/>
    <w:p>
      <w:pPr>
        <w:pStyle w:val="Heading2"/>
      </w:pPr>
      <w:r>
        <w:t xml:space="preserve">Opportunities for Growth</w:t>
      </w:r>
    </w:p>
    <w:p>
      <w:pPr>
        <w:pStyle w:val="FirstParagraph"/>
      </w:pPr>
      <w:r>
        <w:rPr>
          <w:bCs/>
          <w:b/>
        </w:rPr>
        <w:t xml:space="preserve">Educational and Research Hubs:</w:t>
      </w:r>
      <w:r>
        <w:t xml:space="preserve"> </w:t>
      </w:r>
      <w:r>
        <w:t xml:space="preserve">Madrid is home to institutions like the Universidad Complutense de Madrid (UCM) and Instituto de Investigación Sanitaria del Hospital 12 de Octubre (imas12), which provide advanced training for ophthalmologists. Collaborative research projects with global entities further enhance clinical expertise.</w:t>
      </w:r>
    </w:p>
    <w:p>
      <w:pPr>
        <w:pStyle w:val="BodyText"/>
      </w:pPr>
      <w:r>
        <w:rPr>
          <w:bCs/>
          <w:b/>
        </w:rPr>
        <w:t xml:space="preserve">Telemedicine Expansion:</w:t>
      </w:r>
      <w:r>
        <w:t xml:space="preserve"> </w:t>
      </w:r>
      <w:r>
        <w:t xml:space="preserve">The adoption of digital platforms has allowed Madrid’s ophthalmologists to reach underserved communities, particularly during the pandemic. A 2022 study found that 35% of patients in rural Madrid used teleconsultations for routine check-ups.</w:t>
      </w:r>
    </w:p>
    <w:bookmarkEnd w:id="28"/>
    <w:bookmarkStart w:id="29" w:name="cases-studies"/>
    <w:p>
      <w:pPr>
        <w:pStyle w:val="Heading2"/>
      </w:pPr>
      <w:r>
        <w:t xml:space="preserve">Cases Studies</w:t>
      </w:r>
    </w:p>
    <w:p>
      <w:pPr>
        <w:pStyle w:val="FirstParagraph"/>
      </w:pPr>
      <w:r>
        <w:rPr>
          <w:bCs/>
          <w:b/>
        </w:rPr>
        <w:t xml:space="preserve">Case Study 1: Public Sector – Hospital Gregorio Marañón, Madrid</w:t>
      </w:r>
      <w:r>
        <w:br/>
      </w:r>
      <w:r>
        <w:t xml:space="preserve">This institution offers free laser treatments for diabetic retinopathy. In 2023, it treated over 1,500 patients, highlighting the public sector’s role in preventive care.</w:t>
      </w:r>
    </w:p>
    <w:p>
      <w:pPr>
        <w:pStyle w:val="BodyText"/>
      </w:pPr>
      <w:r>
        <w:rPr>
          <w:bCs/>
          <w:b/>
        </w:rPr>
        <w:t xml:space="preserve">Case Study 2: Private Sector – Clínica Vistalegre</w:t>
      </w:r>
      <w:r>
        <w:br/>
      </w:r>
      <w:r>
        <w:t xml:space="preserve">A leading private clinic specializing in refractive surgery. It reported a 25% increase in LASIK procedures from 2021 to 2023, driven by younger demographics and technological advancements.</w:t>
      </w:r>
    </w:p>
    <w:bookmarkEnd w:id="29"/>
    <w:bookmarkStart w:id="30" w:name="conclusion"/>
    <w:p>
      <w:pPr>
        <w:pStyle w:val="Heading2"/>
      </w:pPr>
      <w:r>
        <w:t xml:space="preserve">Conclusion</w:t>
      </w:r>
    </w:p>
    <w:p>
      <w:pPr>
        <w:pStyle w:val="FirstParagraph"/>
      </w:pPr>
      <w:r>
        <w:t xml:space="preserve">The Master Thesis underscores the indispensable role of ophthalmologists in Spain Madrid’s healthcare ecosystem. Their work bridges gaps between public accessibility, private innovation, and technological progress. Addressing challenges like resource allocation and demographic shifts will be critical to sustaining high-quality eye care in Madrid. Future research should explore the long-term impact of AI integration on diagnostic accuracy and patient outcomes.</w:t>
      </w:r>
    </w:p>
    <w:bookmarkEnd w:id="30"/>
    <w:bookmarkStart w:id="31" w:name="references"/>
    <w:p>
      <w:pPr>
        <w:pStyle w:val="Heading2"/>
      </w:pPr>
      <w:r>
        <w:t xml:space="preserve">References</w:t>
      </w:r>
    </w:p>
    <w:p>
      <w:pPr>
        <w:numPr>
          <w:ilvl w:val="0"/>
          <w:numId w:val="1001"/>
        </w:numPr>
        <w:pStyle w:val="Compact"/>
      </w:pPr>
      <w:r>
        <w:t xml:space="preserve">Consejo de Salud de Madrid (2023). "Annual Report on Healthcare Services."</w:t>
      </w:r>
    </w:p>
    <w:p>
      <w:pPr>
        <w:numPr>
          <w:ilvl w:val="0"/>
          <w:numId w:val="1001"/>
        </w:numPr>
        <w:pStyle w:val="Compact"/>
      </w:pPr>
      <w:r>
        <w:t xml:space="preserve">Universidad Complutense de Madrid. Department of Ophthalmology (2023).</w:t>
      </w:r>
    </w:p>
    <w:p>
      <w:pPr>
        <w:numPr>
          <w:ilvl w:val="0"/>
          <w:numId w:val="1001"/>
        </w:numPr>
        <w:pStyle w:val="Compact"/>
      </w:pPr>
      <w:r>
        <w:t xml:space="preserve">España, Ministerio de Sanidad. "National Health System Statistics 2018–2023."</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Ophthalmologist Practice in Spain Madrid</dc:title>
  <dc:creator/>
  <dc:language>en</dc:language>
  <cp:keywords/>
  <dcterms:created xsi:type="dcterms:W3CDTF">2026-07-18T11:26:49Z</dcterms:created>
  <dcterms:modified xsi:type="dcterms:W3CDTF">2026-07-18T11:26:49Z</dcterms:modified>
</cp:coreProperties>
</file>

<file path=docProps/custom.xml><?xml version="1.0" encoding="utf-8"?>
<Properties xmlns="http://schemas.openxmlformats.org/officeDocument/2006/custom-properties" xmlns:vt="http://schemas.openxmlformats.org/officeDocument/2006/docPropsVTypes"/>
</file>