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1f417b4d755386fe4d67f3039ddb335cd077a5c"/>
    <w:p>
      <w:pPr>
        <w:pStyle w:val="Heading1"/>
      </w:pPr>
      <w:r>
        <w:t xml:space="preserve">Master Thesis: The Role of Ophthalmologists in Turkey Istanbul</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within the dynamic urban landscape of Istanbul, Turkey. With a focus on clinical practice, public health policies, and advancements in ophthalmic technology, this study highlights how Ophthalmologists in Istanbul contribute to both local and global healthcare systems. The research emphasizes the unique demands of serving a diverse population in one of Europe’s largest cities while analyzing the interplay between medical innovation and socioeconomic factors.</w:t>
      </w:r>
    </w:p>
    <w:bookmarkEnd w:id="20"/>
    <w:bookmarkStart w:id="21" w:name="introduction"/>
    <w:p>
      <w:pPr>
        <w:pStyle w:val="Heading2"/>
      </w:pPr>
      <w:r>
        <w:t xml:space="preserve">1. Introduction</w:t>
      </w:r>
    </w:p>
    <w:p>
      <w:pPr>
        <w:pStyle w:val="FirstParagraph"/>
      </w:pPr>
      <w:r>
        <w:t xml:space="preserve">Istanbul, Turkey, serves as a hub for medical expertise and innovation, making it a focal point for ophthalmic research and practice. As an Ophthalmologist in Istanbul, professionals face the dual challenge of addressing high patient volumes and integrating cutting-edge technologies into daily care. This Master Thesis aims to evaluate the role of Ophthalmologists in Istanbul’s healthcare ecosystem, considering their contributions to public health initiatives, specialized treatments, and the training of future medical professionals.</w:t>
      </w:r>
    </w:p>
    <w:bookmarkEnd w:id="21"/>
    <w:bookmarkStart w:id="22" w:name="contextual-background"/>
    <w:p>
      <w:pPr>
        <w:pStyle w:val="Heading2"/>
      </w:pPr>
      <w:r>
        <w:t xml:space="preserve">2. Contextual Background</w:t>
      </w:r>
    </w:p>
    <w:p>
      <w:pPr>
        <w:pStyle w:val="FirstParagraph"/>
      </w:pPr>
      <w:r>
        <w:t xml:space="preserve">Istanbul’s status as a megacity with a population exceeding 15 million necessitates robust healthcare infrastructure. The city hosts world-class hospitals such as Istanbul University Cerrahpaşa Medical Faculty and private clinics offering state-of-the-art ophthalmic services. Ophthalmologists in Istanbul are pivotal in managing conditions like diabetic retinopathy, glaucoma, and cataracts, which are prevalent due to urbanization and aging populations. Additionally, the city’s proximity to both Europe and Asia makes it a crossroads for medical tourism, further elevating the demand for skilled ophthalmic care.</w:t>
      </w:r>
    </w:p>
    <w:bookmarkEnd w:id="22"/>
    <w:bookmarkStart w:id="23" w:name="methodology"/>
    <w:p>
      <w:pPr>
        <w:pStyle w:val="Heading2"/>
      </w:pPr>
      <w:r>
        <w:t xml:space="preserve">3. Methodology</w:t>
      </w:r>
    </w:p>
    <w:p>
      <w:pPr>
        <w:pStyle w:val="FirstParagraph"/>
      </w:pPr>
      <w:r>
        <w:t xml:space="preserve">This study employs a qualitative research approach, combining literature reviews of Turkish health policies with interviews from licensed Ophthalmologists practicing in Istanbul. Data were gathered from public and private healthcare institutions, as well as academic journals published in the last decade. The analysis focuses on themes such as patient demographics, technological adoption (e.g., laser surgery), and the impact of socioeconomic disparities on access to eye care.</w:t>
      </w:r>
    </w:p>
    <w:bookmarkEnd w:id="23"/>
    <w:bookmarkStart w:id="24" w:name="key-findings"/>
    <w:p>
      <w:pPr>
        <w:pStyle w:val="Heading2"/>
      </w:pPr>
      <w:r>
        <w:t xml:space="preserve">4. Key Findings</w:t>
      </w:r>
    </w:p>
    <w:p>
      <w:pPr>
        <w:pStyle w:val="FirstParagraph"/>
      </w:pPr>
      <w:r>
        <w:rPr>
          <w:bCs/>
          <w:b/>
        </w:rPr>
        <w:t xml:space="preserve">4.1 Clinical Expertise and Patient Demographics</w:t>
      </w:r>
      <w:r>
        <w:br/>
      </w:r>
      <w:r>
        <w:t xml:space="preserve">Ophthalmologists in Istanbul encounter a diverse patient base, including locals, expatriates, and medical tourists. Common procedures include refractive surgery (e.g., LASIK) and treatment of age-related macular degeneration. Notably, the prevalence of diabetic retinopathy has surged due to rising diabetes rates in Turkey.</w:t>
      </w:r>
    </w:p>
    <w:p>
      <w:pPr>
        <w:pStyle w:val="BodyText"/>
      </w:pPr>
      <w:r>
        <w:rPr>
          <w:bCs/>
          <w:b/>
        </w:rPr>
        <w:t xml:space="preserve">4.2 Technological Advancements</w:t>
      </w:r>
      <w:r>
        <w:br/>
      </w:r>
      <w:r>
        <w:t xml:space="preserve">Istanbul is at the forefront of adopting innovations like artificial intelligence (AI) for early detection of eye diseases and robotic-assisted surgery. Private clinics often lead in these advancements, while public healthcare institutions focus on affordability and accessibility.</w:t>
      </w:r>
    </w:p>
    <w:p>
      <w:pPr>
        <w:pStyle w:val="BodyText"/>
      </w:pPr>
      <w:r>
        <w:rPr>
          <w:bCs/>
          <w:b/>
        </w:rPr>
        <w:t xml:space="preserve">4.3 Challenges in Healthcare Delivery</w:t>
      </w:r>
      <w:r>
        <w:br/>
      </w:r>
      <w:r>
        <w:t xml:space="preserve">Despite progress, challenges persist, such as uneven distribution of ophthalmic services between urban centers and rural areas within Istanbul. Additionally, the cost of advanced treatments remains a barrier for lower-income patients.</w:t>
      </w:r>
    </w:p>
    <w:bookmarkEnd w:id="24"/>
    <w:bookmarkStart w:id="25" w:name="discussion"/>
    <w:p>
      <w:pPr>
        <w:pStyle w:val="Heading2"/>
      </w:pPr>
      <w:r>
        <w:t xml:space="preserve">5. Discussion</w:t>
      </w:r>
    </w:p>
    <w:p>
      <w:pPr>
        <w:pStyle w:val="FirstParagraph"/>
      </w:pPr>
      <w:r>
        <w:t xml:space="preserve">The role of an Ophthalmologist in Istanbul transcends clinical practice; they are integral to public health campaigns like the "Vision 2020: The Right to Sight" initiative, which Turkey has adopted. Collaborations between universities and hospitals have enhanced training programs, ensuring a pipeline of skilled professionals. However, the study underscores the need for policies that bridge gaps in healthcare access and reduce financial burdens on patients.</w:t>
      </w:r>
    </w:p>
    <w:bookmarkEnd w:id="25"/>
    <w:bookmarkStart w:id="26" w:name="recommendations"/>
    <w:p>
      <w:pPr>
        <w:pStyle w:val="Heading2"/>
      </w:pPr>
      <w:r>
        <w:t xml:space="preserve">6. Recommendations</w:t>
      </w:r>
    </w:p>
    <w:p>
      <w:pPr>
        <w:pStyle w:val="FirstParagraph"/>
      </w:pPr>
      <w:r>
        <w:t xml:space="preserve">To strengthen ophthalmic care in Istanbul, this Master Thesis proposes: (1) Expanding telemedicine services to reach underserved areas, (2) Increasing public funding for advanced treatments, and (3) Encouraging interdisciplinary research between Ophthalmologists and engineers to develop AI-driven diagnostic tools tailored to Turkey’s population.</w:t>
      </w:r>
    </w:p>
    <w:bookmarkEnd w:id="26"/>
    <w:bookmarkStart w:id="27" w:name="conclusion"/>
    <w:p>
      <w:pPr>
        <w:pStyle w:val="Heading2"/>
      </w:pPr>
      <w:r>
        <w:t xml:space="preserve">7. Conclusion</w:t>
      </w:r>
    </w:p>
    <w:p>
      <w:pPr>
        <w:pStyle w:val="FirstParagraph"/>
      </w:pPr>
      <w:r>
        <w:t xml:space="preserve">In conclusion, Ophthalmologists in Istanbul play a vital role in addressing the complex healthcare needs of a rapidly evolving urban environment. Their work not only impacts individual patients but also contributes to Turkey’s position as a leader in medical innovation within the region. This Master Thesis underscores the importance of continued investment in ophthalmic education, technology, and equitable healthcare delivery to ensure sustainable progress for Istanbul and beyond.</w:t>
      </w:r>
    </w:p>
    <w:bookmarkEnd w:id="27"/>
    <w:bookmarkStart w:id="28" w:name="references"/>
    <w:p>
      <w:pPr>
        <w:pStyle w:val="Heading2"/>
      </w:pPr>
      <w:r>
        <w:t xml:space="preserve">References</w:t>
      </w:r>
    </w:p>
    <w:p>
      <w:pPr>
        <w:pStyle w:val="FirstParagraph"/>
      </w:pPr>
      <w:r>
        <w:rPr>
          <w:iCs/>
          <w:i/>
        </w:rPr>
        <w:t xml:space="preserve">1. World Health Organization (WHO). (2021). Global Report on Vision 2020.</w:t>
      </w:r>
      <w:r>
        <w:br/>
      </w:r>
      <w:r>
        <w:rPr>
          <w:iCs/>
          <w:i/>
        </w:rPr>
        <w:t xml:space="preserve">2. Turkish Ministry of Health. (2019). National Eye Care Strategy for Turkey.</w:t>
      </w:r>
      <w:r>
        <w:br/>
      </w:r>
      <w:r>
        <w:rPr>
          <w:iCs/>
          <w:i/>
        </w:rPr>
        <w:t xml:space="preserve">3. Istanbul University Cerrahpaşa Medical Faculty. (2023). Annual Ophthalmology Department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Turkey Istanbul</dc:title>
  <dc:creator/>
  <dc:language>en</dc:language>
  <cp:keywords/>
  <dcterms:created xsi:type="dcterms:W3CDTF">2026-07-20T01:31:50Z</dcterms:created>
  <dcterms:modified xsi:type="dcterms:W3CDTF">2026-07-20T01:31:50Z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