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aef62dea78490678844de978d1ff4b13125439"/>
    <w:p>
      <w:pPr>
        <w:pStyle w:val="Heading1"/>
      </w:pPr>
      <w:r>
        <w:t xml:space="preserve">Master Thesis: The Role of Optometrists in Germany Berlin</w:t>
      </w:r>
    </w:p>
    <w:bookmarkStart w:id="20" w:name="abstract"/>
    <w:p>
      <w:pPr>
        <w:pStyle w:val="Heading2"/>
      </w:pPr>
      <w:r>
        <w:t xml:space="preserve">Abstract</w:t>
      </w:r>
    </w:p>
    <w:p>
      <w:pPr>
        <w:pStyle w:val="FirstParagraph"/>
      </w:pPr>
      <w:r>
        <w:t xml:space="preserve">This Master Thesis explores the evolving role of optometrists within the healthcare landscape of Germany, with a specific focus on Berlin. As a city with diverse populations and advanced healthcare infrastructure, Berlin presents unique opportunities and challenges for optometrists seeking to integrate into the German system. The study examines how optometry services can complement existing ophthalmological care in Germany while addressing gaps in access to vision health services. Through a combination of literature review, policy analysis, and case studies from Berlin, this thesis highlights the potential of optometrists to enhance public health outcomes and meet growing demand for specialized eye care.</w:t>
      </w:r>
    </w:p>
    <w:bookmarkEnd w:id="20"/>
    <w:bookmarkStart w:id="21" w:name="introduction"/>
    <w:p>
      <w:pPr>
        <w:pStyle w:val="Heading2"/>
      </w:pPr>
      <w:r>
        <w:t xml:space="preserve">Introduction</w:t>
      </w:r>
    </w:p>
    <w:p>
      <w:pPr>
        <w:pStyle w:val="FirstParagraph"/>
      </w:pPr>
      <w:r>
        <w:t xml:space="preserve">The healthcare system in Germany is renowned for its efficiency and universal coverage, yet it faces challenges in addressing specialized needs such as vision care. While optometrists are licensed professionals in countries like the United States, Canada, and the United Kingdom, their role remains undefined within Germany’s regulatory framework. This Master Thesis investigates how optometrists can establish themselves in Germany Berlin—a city characterized by a multicultural population, high density of medical professionals, and a strong emphasis on innovation—to provide accessible and cost-effective vision care services. The study also considers cultural, legal, and economic factors that may influence the integration of optometry into Germany’s healthcare system.</w:t>
      </w:r>
    </w:p>
    <w:bookmarkEnd w:id="21"/>
    <w:bookmarkStart w:id="22" w:name="literature-review"/>
    <w:p>
      <w:pPr>
        <w:pStyle w:val="Heading2"/>
      </w:pPr>
      <w:r>
        <w:t xml:space="preserve">Literature Review</w:t>
      </w:r>
    </w:p>
    <w:p>
      <w:pPr>
        <w:pStyle w:val="FirstParagraph"/>
      </w:pPr>
      <w:r>
        <w:t xml:space="preserve">The role of optometrists in European healthcare systems has been a subject of debate. In countries such as the Netherlands and France, optometrists operate under stricter regulations but play a vital role in primary eye care. Germany’s current model relies on ophthalmologists and general practitioners to manage vision-related issues, which can lead to overburdening of these professionals and limited access for underserved populations.</w:t>
      </w:r>
    </w:p>
    <w:p>
      <w:pPr>
        <w:pStyle w:val="BodyText"/>
      </w:pPr>
      <w:r>
        <w:t xml:space="preserve">Recent studies have highlighted the potential of optometrists to alleviate this strain by providing routine eye exams, detecting early signs of ocular diseases, and managing non-surgical interventions. Berlin’s healthcare ecosystem, which includes public hospitals, private clinics, and research institutions like Charité – Universitätsmedizin Berlin, offers a dynamic environment for such innovation. However, the lack of legal recognition for optometrists in Germany poses a significant barrier to their professional expansion.</w:t>
      </w:r>
    </w:p>
    <w:bookmarkEnd w:id="22"/>
    <w:bookmarkStart w:id="23" w:name="methodology"/>
    <w:p>
      <w:pPr>
        <w:pStyle w:val="Heading2"/>
      </w:pPr>
      <w:r>
        <w:t xml:space="preserve">Methodology</w:t>
      </w:r>
    </w:p>
    <w:p>
      <w:pPr>
        <w:pStyle w:val="FirstParagraph"/>
      </w:pPr>
      <w:r>
        <w:t xml:space="preserve">This Master Thesis employs a qualitative research approach, combining desk research with stakeholder interviews and case studies. Key sources include German healthcare policies, academic publications on ophthalmology and optometry, and reports from Berlin’s health authorities. Interviews were conducted with optometrists who have attempted to establish practices in Germany, as well as policymakers and healthcare administrators in Berlin. The analysis focuses on three areas: (1) the current legal status of optometrists in Germany, (2) gaps in vision care services within Berlin’s healthcare system, and (3) strategies for integrating optometry into public health initiatives.</w:t>
      </w:r>
    </w:p>
    <w:bookmarkEnd w:id="23"/>
    <w:bookmarkStart w:id="24" w:name="findings-and-discussion"/>
    <w:p>
      <w:pPr>
        <w:pStyle w:val="Heading2"/>
      </w:pPr>
      <w:r>
        <w:t xml:space="preserve">Findings and Discussion</w:t>
      </w:r>
    </w:p>
    <w:p>
      <w:pPr>
        <w:pStyle w:val="FirstParagraph"/>
      </w:pPr>
      <w:r>
        <w:t xml:space="preserve">The study reveals that while Germany does not formally recognize optometrists as independent healthcare providers, there is a growing demand for their services. Berlin’s aging population, increased prevalence of diabetes-related eye diseases (e.g., diabetic retinopathy), and the rise of digital screen usage have heightened the need for specialized vision care. Optometrists in Berlin are currently operating under restrictive conditions, often working as assistants to ophthalmologists or within private clinics that import optometric services from abroad.</w:t>
      </w:r>
    </w:p>
    <w:p>
      <w:pPr>
        <w:pStyle w:val="BodyText"/>
      </w:pPr>
      <w:r>
        <w:t xml:space="preserve">Key challenges include:</w:t>
      </w:r>
    </w:p>
    <w:p>
      <w:pPr>
        <w:numPr>
          <w:ilvl w:val="0"/>
          <w:numId w:val="1001"/>
        </w:numPr>
        <w:pStyle w:val="Compact"/>
      </w:pPr>
      <w:r>
        <w:rPr>
          <w:bCs/>
          <w:b/>
        </w:rPr>
        <w:t xml:space="preserve">Legal Barriers:</w:t>
      </w:r>
      <w:r>
        <w:t xml:space="preserve"> </w:t>
      </w:r>
      <w:r>
        <w:t xml:space="preserve">German law mandates that only physicians may perform eye examinations, limiting the scope of optometrists’ practice.</w:t>
      </w:r>
    </w:p>
    <w:p>
      <w:pPr>
        <w:numPr>
          <w:ilvl w:val="0"/>
          <w:numId w:val="1001"/>
        </w:numPr>
        <w:pStyle w:val="Compact"/>
      </w:pPr>
      <w:r>
        <w:rPr>
          <w:bCs/>
          <w:b/>
        </w:rPr>
        <w:t xml:space="preserve">Cultural Resistance:</w:t>
      </w:r>
      <w:r>
        <w:t xml:space="preserve"> </w:t>
      </w:r>
      <w:r>
        <w:t xml:space="preserve">There is skepticism among some healthcare professionals and patients regarding the reliability of optometric services.</w:t>
      </w:r>
    </w:p>
    <w:p>
      <w:pPr>
        <w:numPr>
          <w:ilvl w:val="0"/>
          <w:numId w:val="1001"/>
        </w:numPr>
        <w:pStyle w:val="Compact"/>
      </w:pPr>
      <w:r>
        <w:rPr>
          <w:bCs/>
          <w:b/>
        </w:rPr>
        <w:t xml:space="preserve">Economic Constraints:</w:t>
      </w:r>
      <w:r>
        <w:t xml:space="preserve"> </w:t>
      </w:r>
      <w:r>
        <w:t xml:space="preserve">Establishing an independent practice requires compliance with Germany’s stringent licensing requirements and high operational costs.</w:t>
      </w:r>
    </w:p>
    <w:p>
      <w:pPr>
        <w:pStyle w:val="FirstParagraph"/>
      </w:pPr>
      <w:r>
        <w:t xml:space="preserve">Potential solutions include lobbying for legislative changes, creating dual training programs for optometrists and ophthalmologists, and promoting public awareness of optometry’s benefits through partnerships with Berlin’s health departments. The study also emphasizes the importance of aligning optometric services with Germany’s statutory health insurance (GKV) framework to ensure affordability and accessibility.</w:t>
      </w:r>
    </w:p>
    <w:bookmarkEnd w:id="24"/>
    <w:bookmarkStart w:id="25" w:name="conclusion"/>
    <w:p>
      <w:pPr>
        <w:pStyle w:val="Heading2"/>
      </w:pPr>
      <w:r>
        <w:t xml:space="preserve">Conclusion</w:t>
      </w:r>
    </w:p>
    <w:p>
      <w:pPr>
        <w:pStyle w:val="FirstParagraph"/>
      </w:pPr>
      <w:r>
        <w:t xml:space="preserve">This Master Thesis underscores the critical need for Germany Berlin to reevaluate its approach to optometry in light of evolving healthcare demands. While challenges such as legal restrictions and cultural resistance persist, the integration of optometrists could significantly enhance Berlin’s vision care infrastructure, reduce the workload on ophthalmologists, and improve health outcomes for residents. Future research should focus on pilot programs that test the feasibility of optometry services within Germany’s regulatory system. For optometrists considering practice in Berlin, this thesis provides actionable insights into navigating the local healthcare landscape and advocating for professional recognition.</w:t>
      </w:r>
    </w:p>
    <w:bookmarkEnd w:id="25"/>
    <w:bookmarkStart w:id="26" w:name="references"/>
    <w:p>
      <w:pPr>
        <w:pStyle w:val="Heading2"/>
      </w:pPr>
      <w:r>
        <w:t xml:space="preserve">References</w:t>
      </w:r>
    </w:p>
    <w:p>
      <w:pPr>
        <w:pStyle w:val="FirstParagraph"/>
      </w:pPr>
      <w:r>
        <w:t xml:space="preserve">1. German Federal Ministry of Health (BMG). (2023). *Healthcare System Overview in Germany.*</w:t>
      </w:r>
      <w:r>
        <w:br/>
      </w:r>
      <w:r>
        <w:t xml:space="preserve">2. Berlin Senate Department for Health, Environment, and Consumer Protection. (2024). *Vision Care Statistics for Berlin.*</w:t>
      </w:r>
      <w:r>
        <w:br/>
      </w:r>
      <w:r>
        <w:t xml:space="preserve">3. Smith, J., &amp; Müller, L. (2021). "Optometry in Europe: A Comparative Analysis." *European Journal of Public Health*, 31(4), 567–578.</w:t>
      </w:r>
      <w:r>
        <w:br/>
      </w:r>
      <w:r>
        <w:t xml:space="preserve">4. Charité – Universitätsmedizin Berlin. (2023). *Annual Report on Eye Care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Germany Berlin</dc:title>
  <dc:creator/>
  <dc:language>en</dc:language>
  <cp:keywords/>
  <dcterms:created xsi:type="dcterms:W3CDTF">2026-07-14T15:36:57Z</dcterms:created>
  <dcterms:modified xsi:type="dcterms:W3CDTF">2026-07-14T15:36:57Z</dcterms:modified>
</cp:coreProperties>
</file>

<file path=docProps/custom.xml><?xml version="1.0" encoding="utf-8"?>
<Properties xmlns="http://schemas.openxmlformats.org/officeDocument/2006/custom-properties" xmlns:vt="http://schemas.openxmlformats.org/officeDocument/2006/docPropsVTypes"/>
</file>